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8"/>
        <w:gridCol w:w="8010"/>
      </w:tblGrid>
      <w:tr w:rsidR="00066E6A" w:rsidRPr="00C70F34" w14:paraId="0B52F76F" w14:textId="77777777" w:rsidTr="000D2CA8">
        <w:trPr>
          <w:tblHeader/>
        </w:trPr>
        <w:tc>
          <w:tcPr>
            <w:tcW w:w="2808" w:type="dxa"/>
            <w:vAlign w:val="bottom"/>
          </w:tcPr>
          <w:p w14:paraId="1DB50698" w14:textId="5F7B22AC" w:rsidR="00066E6A" w:rsidRPr="00C70F34" w:rsidRDefault="00066E6A" w:rsidP="002404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eb-</w:t>
            </w:r>
            <w:r w:rsidR="000F147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4A1F2A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C3A3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0F147D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B0A29" w:rsidRPr="00C70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6212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010" w:type="dxa"/>
          </w:tcPr>
          <w:p w14:paraId="44CAA985" w14:textId="77777777" w:rsidR="00066E6A" w:rsidRPr="00C70F34" w:rsidRDefault="00066E6A" w:rsidP="00066E6A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624EA" w14:textId="77777777" w:rsidR="00066E6A" w:rsidRPr="00C70F34" w:rsidRDefault="00066E6A" w:rsidP="00066E6A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0950" w14:textId="77777777" w:rsidR="00066E6A" w:rsidRPr="00C70F34" w:rsidRDefault="00066E6A" w:rsidP="00A455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D0E714" w14:textId="77777777" w:rsidR="00A455BF" w:rsidRPr="00C70F34" w:rsidRDefault="00A455BF" w:rsidP="000D2C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8"/>
        <w:gridCol w:w="9090"/>
      </w:tblGrid>
      <w:tr w:rsidR="00A455BF" w:rsidRPr="00C70F34" w14:paraId="1D4B602A" w14:textId="77777777" w:rsidTr="003F2955">
        <w:tc>
          <w:tcPr>
            <w:tcW w:w="1728" w:type="dxa"/>
            <w:vAlign w:val="center"/>
          </w:tcPr>
          <w:p w14:paraId="583DB9C3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530C6354" w14:textId="341C9CDF" w:rsidR="00A455BF" w:rsidRPr="00C70F34" w:rsidRDefault="001C1048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08/04/</w:t>
            </w:r>
            <w:r w:rsidR="009E1357"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202</w:t>
            </w:r>
            <w:r w:rsidR="00385A1F"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A455BF" w:rsidRPr="00C70F34" w14:paraId="08C844FE" w14:textId="77777777" w:rsidTr="003F2955">
        <w:tc>
          <w:tcPr>
            <w:tcW w:w="1728" w:type="dxa"/>
            <w:vAlign w:val="center"/>
            <w:hideMark/>
          </w:tcPr>
          <w:p w14:paraId="6FB4EC25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To:</w:t>
            </w:r>
          </w:p>
        </w:tc>
        <w:tc>
          <w:tcPr>
            <w:tcW w:w="9090" w:type="dxa"/>
            <w:vAlign w:val="center"/>
            <w:hideMark/>
          </w:tcPr>
          <w:p w14:paraId="0AD42CD3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INCITS Members </w:t>
            </w:r>
          </w:p>
        </w:tc>
      </w:tr>
      <w:tr w:rsidR="00A455BF" w:rsidRPr="00C70F34" w14:paraId="5DF55181" w14:textId="77777777" w:rsidTr="003F2955">
        <w:tc>
          <w:tcPr>
            <w:tcW w:w="1728" w:type="dxa"/>
            <w:vAlign w:val="center"/>
          </w:tcPr>
          <w:p w14:paraId="060B6971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7ED8CB1F" w14:textId="07D886BA" w:rsidR="00A455BF" w:rsidRPr="00C70F34" w:rsidRDefault="00DD63B2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445A88" w:rsidRPr="00C70F3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Deborah J. Spittle</w:t>
              </w:r>
            </w:hyperlink>
          </w:p>
        </w:tc>
      </w:tr>
      <w:tr w:rsidR="00A455BF" w:rsidRPr="00C70F34" w14:paraId="0F64EA96" w14:textId="77777777" w:rsidTr="003F2955">
        <w:tc>
          <w:tcPr>
            <w:tcW w:w="1728" w:type="dxa"/>
            <w:hideMark/>
          </w:tcPr>
          <w:p w14:paraId="2744BBC6" w14:textId="77777777" w:rsidR="00A455BF" w:rsidRPr="00C70F34" w:rsidRDefault="00A455BF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hideMark/>
          </w:tcPr>
          <w:p w14:paraId="7D1AFCE5" w14:textId="4A8C1A4C" w:rsidR="00662DF0" w:rsidRPr="00C70F34" w:rsidRDefault="00367520" w:rsidP="000D2CA8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sz w:val="20"/>
                <w:szCs w:val="20"/>
              </w:rPr>
              <w:t>Public Review and Comments Register for the</w:t>
            </w:r>
            <w:r w:rsidR="00917D26" w:rsidRPr="00C70F34">
              <w:rPr>
                <w:rFonts w:ascii="Arial" w:eastAsia="Times New Roman" w:hAnsi="Arial" w:cs="Arial"/>
                <w:sz w:val="20"/>
                <w:szCs w:val="20"/>
              </w:rPr>
              <w:t xml:space="preserve"> Adoption of</w:t>
            </w:r>
            <w:r w:rsidR="008D5854" w:rsidRPr="00C70F3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277A11" w:rsidRPr="00C70F34" w14:paraId="1CE7EE6A" w14:textId="77777777" w:rsidTr="003F2955">
        <w:tc>
          <w:tcPr>
            <w:tcW w:w="1728" w:type="dxa"/>
          </w:tcPr>
          <w:p w14:paraId="2D8826AE" w14:textId="77777777" w:rsidR="00020009" w:rsidRPr="00C70F34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B409ECD" w14:textId="77777777" w:rsidR="00277A11" w:rsidRPr="00C70F34" w:rsidRDefault="00277A11" w:rsidP="000D2CA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Due Date:</w:t>
            </w:r>
          </w:p>
        </w:tc>
        <w:tc>
          <w:tcPr>
            <w:tcW w:w="9090" w:type="dxa"/>
          </w:tcPr>
          <w:p w14:paraId="59190426" w14:textId="77777777" w:rsidR="00020009" w:rsidRPr="00C70F34" w:rsidRDefault="00020009" w:rsidP="000D2CA8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FC1124D" w14:textId="1205D127" w:rsidR="00277A11" w:rsidRPr="00C70F34" w:rsidRDefault="001627F8" w:rsidP="002F58FC">
            <w:pPr>
              <w:spacing w:before="60" w:after="6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The public review is from </w:t>
            </w:r>
            <w:r w:rsidR="0054177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August 6</w:t>
            </w:r>
            <w:r w:rsidR="00D777A2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2021,</w:t>
            </w:r>
            <w:r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to</w:t>
            </w:r>
            <w:r w:rsidR="0078164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4177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October 5</w:t>
            </w:r>
            <w:r w:rsidR="00385A1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, 2021</w:t>
            </w:r>
            <w:r w:rsidR="0085128A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.</w:t>
            </w:r>
            <w:r w:rsidR="0078164F" w:rsidRPr="00C70F3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br/>
            </w:r>
          </w:p>
        </w:tc>
      </w:tr>
      <w:tr w:rsidR="00A455BF" w:rsidRPr="00C70F34" w14:paraId="6C5D6B9C" w14:textId="77777777" w:rsidTr="003F2955">
        <w:tc>
          <w:tcPr>
            <w:tcW w:w="1728" w:type="dxa"/>
          </w:tcPr>
          <w:p w14:paraId="08B21534" w14:textId="77777777" w:rsidR="00A455BF" w:rsidRPr="00C70F34" w:rsidRDefault="00A455BF" w:rsidP="00977F5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0F34">
              <w:rPr>
                <w:rFonts w:ascii="Arial" w:eastAsia="Times New Roman" w:hAnsi="Arial" w:cs="Arial"/>
                <w:bCs/>
                <w:sz w:val="20"/>
                <w:szCs w:val="20"/>
              </w:rPr>
              <w:t>Action:</w:t>
            </w:r>
          </w:p>
        </w:tc>
        <w:tc>
          <w:tcPr>
            <w:tcW w:w="9090" w:type="dxa"/>
          </w:tcPr>
          <w:p w14:paraId="32E42450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The InterNational Committee for Information Technology Standards (</w:t>
            </w:r>
            <w:hyperlink r:id="rId9" w:history="1">
              <w:r w:rsidRPr="00C70F34">
                <w:rPr>
                  <w:rStyle w:val="Hyperlink"/>
                  <w:rFonts w:ascii="Arial" w:hAnsi="Arial" w:cs="Arial"/>
                  <w:sz w:val="20"/>
                  <w:szCs w:val="20"/>
                </w:rPr>
                <w:t>INCITS</w:t>
              </w:r>
            </w:hyperlink>
            <w:r w:rsidRPr="00C70F34">
              <w:rPr>
                <w:rFonts w:ascii="Arial" w:hAnsi="Arial" w:cs="Arial"/>
                <w:sz w:val="20"/>
                <w:szCs w:val="20"/>
              </w:rPr>
              <w:t xml:space="preserve">) announces that the subject-referenced document(s) is being circulated for a </w:t>
            </w:r>
            <w:r w:rsidR="00B67E53" w:rsidRPr="00C70F34">
              <w:rPr>
                <w:rFonts w:ascii="Arial" w:hAnsi="Arial" w:cs="Arial"/>
                <w:sz w:val="20"/>
                <w:szCs w:val="20"/>
              </w:rPr>
              <w:t>60</w:t>
            </w:r>
            <w:r w:rsidRPr="00C70F34">
              <w:rPr>
                <w:rFonts w:ascii="Arial" w:hAnsi="Arial" w:cs="Arial"/>
                <w:sz w:val="20"/>
                <w:szCs w:val="20"/>
              </w:rPr>
              <w:t xml:space="preserve">-day public review and comment period.  Comments received during this period will be considered and answered.  Commenters who have objections/suggestions to this document should so indicate and include their reasons.  </w:t>
            </w:r>
          </w:p>
          <w:p w14:paraId="7551E248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6162E076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 xml:space="preserve">All comments should be forwarded not later than the date noted above to the following address: </w:t>
            </w:r>
          </w:p>
          <w:p w14:paraId="2949F5E5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14:paraId="156B22AB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INCITS Secretariat/ITI</w:t>
            </w:r>
          </w:p>
          <w:p w14:paraId="4A1DB0BE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1101 K Street NW - Suite 610</w:t>
            </w:r>
            <w:r w:rsidR="002F58FC" w:rsidRPr="00C70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252D2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>Washington DC  20005-3922</w:t>
            </w:r>
          </w:p>
          <w:p w14:paraId="0A002E6A" w14:textId="77777777" w:rsidR="00662DF0" w:rsidRPr="00C70F34" w:rsidRDefault="00662DF0" w:rsidP="00977F51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B67E53" w:rsidRPr="00C70F34">
                <w:rPr>
                  <w:rStyle w:val="Hyperlink"/>
                  <w:rFonts w:ascii="Arial" w:hAnsi="Arial" w:cs="Arial"/>
                  <w:sz w:val="20"/>
                  <w:szCs w:val="20"/>
                </w:rPr>
                <w:t>comments@standards.incits.org</w:t>
              </w:r>
            </w:hyperlink>
            <w:r w:rsidRPr="00C70F34">
              <w:rPr>
                <w:rFonts w:ascii="Arial" w:hAnsi="Arial" w:cs="Arial"/>
                <w:sz w:val="20"/>
                <w:szCs w:val="20"/>
              </w:rPr>
              <w:t xml:space="preserve">  (preferred)</w:t>
            </w:r>
          </w:p>
          <w:p w14:paraId="016DCCFB" w14:textId="77777777" w:rsidR="00A455BF" w:rsidRPr="00C70F34" w:rsidRDefault="00662DF0" w:rsidP="00977F5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70F34">
              <w:rPr>
                <w:rFonts w:ascii="Arial" w:hAnsi="Arial" w:cs="Arial"/>
                <w:i/>
                <w:sz w:val="20"/>
                <w:szCs w:val="20"/>
              </w:rPr>
              <w:t xml:space="preserve">This public review also serves as a call for patents and any other pertinent issues (copyrights, trademarks).  Correspondence regarding intellectual property rights may be emailed to the INCITS Secretariat at </w:t>
            </w:r>
            <w:hyperlink r:id="rId11" w:history="1">
              <w:r w:rsidRPr="00C70F3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patents@itic.org</w:t>
              </w:r>
            </w:hyperlink>
            <w:r w:rsidRPr="00C70F3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6F622E1" w14:textId="625F4EB3" w:rsidR="009C625B" w:rsidRPr="00C70F34" w:rsidRDefault="009C625B" w:rsidP="006D48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4747"/>
        <w:gridCol w:w="6071"/>
      </w:tblGrid>
      <w:tr w:rsidR="00C95C71" w14:paraId="72F33513" w14:textId="77777777" w:rsidTr="00524BE7">
        <w:trPr>
          <w:trHeight w:val="871"/>
        </w:trPr>
        <w:tc>
          <w:tcPr>
            <w:tcW w:w="4747" w:type="dxa"/>
          </w:tcPr>
          <w:p w14:paraId="77D71639" w14:textId="3E3B130C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10373-6:2020/AM1:2021</w:t>
            </w:r>
          </w:p>
        </w:tc>
        <w:tc>
          <w:tcPr>
            <w:tcW w:w="6071" w:type="dxa"/>
          </w:tcPr>
          <w:p w14:paraId="117C91D4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Test methods - Part 6: Contactless proximity objects - Amendment 1: Dynamic power level management</w:t>
            </w:r>
          </w:p>
        </w:tc>
      </w:tr>
      <w:tr w:rsidR="00C95C71" w14:paraId="0718510E" w14:textId="77777777" w:rsidTr="00524BE7">
        <w:trPr>
          <w:trHeight w:val="871"/>
        </w:trPr>
        <w:tc>
          <w:tcPr>
            <w:tcW w:w="4747" w:type="dxa"/>
          </w:tcPr>
          <w:p w14:paraId="7748098B" w14:textId="7B568853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10373-6:2020/AM2:2020</w:t>
            </w:r>
          </w:p>
        </w:tc>
        <w:tc>
          <w:tcPr>
            <w:tcW w:w="6071" w:type="dxa"/>
          </w:tcPr>
          <w:p w14:paraId="21A30C37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Test methods - Part 6: Contactless proximity objects - Amendment 2: Enhancements for harmonization</w:t>
            </w:r>
          </w:p>
        </w:tc>
      </w:tr>
      <w:tr w:rsidR="00C95C71" w14:paraId="67E8309E" w14:textId="77777777" w:rsidTr="00524BE7">
        <w:trPr>
          <w:trHeight w:val="581"/>
        </w:trPr>
        <w:tc>
          <w:tcPr>
            <w:tcW w:w="4747" w:type="dxa"/>
          </w:tcPr>
          <w:p w14:paraId="4AEA4CF8" w14:textId="41B8D79B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11693-2:2009</w:t>
            </w:r>
          </w:p>
        </w:tc>
        <w:tc>
          <w:tcPr>
            <w:tcW w:w="6071" w:type="dxa"/>
          </w:tcPr>
          <w:p w14:paraId="1997997E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Identification cards - Optical memory cards - Part 2: Co-existence of optical memory with other </w:t>
            </w:r>
            <w:proofErr w:type="gramStart"/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machine readable</w:t>
            </w:r>
            <w:proofErr w:type="gramEnd"/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technologies</w:t>
            </w:r>
          </w:p>
        </w:tc>
      </w:tr>
      <w:tr w:rsidR="00C95C71" w14:paraId="29CEB016" w14:textId="77777777" w:rsidTr="00524BE7">
        <w:trPr>
          <w:trHeight w:val="581"/>
        </w:trPr>
        <w:tc>
          <w:tcPr>
            <w:tcW w:w="4747" w:type="dxa"/>
          </w:tcPr>
          <w:p w14:paraId="519DFFEE" w14:textId="6B342E19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11693-3:2015</w:t>
            </w:r>
          </w:p>
        </w:tc>
        <w:tc>
          <w:tcPr>
            <w:tcW w:w="6071" w:type="dxa"/>
          </w:tcPr>
          <w:p w14:paraId="357021D5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Identification cards - Optical memory cards - Part 3: Authentication techniques</w:t>
            </w:r>
          </w:p>
        </w:tc>
      </w:tr>
      <w:tr w:rsidR="00C95C71" w14:paraId="44F6F5B3" w14:textId="77777777" w:rsidTr="00524BE7">
        <w:trPr>
          <w:trHeight w:val="871"/>
        </w:trPr>
        <w:tc>
          <w:tcPr>
            <w:tcW w:w="4747" w:type="dxa"/>
          </w:tcPr>
          <w:p w14:paraId="79460F4F" w14:textId="4BD95849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14443-2:2020/AM1:2021</w:t>
            </w:r>
          </w:p>
        </w:tc>
        <w:tc>
          <w:tcPr>
            <w:tcW w:w="6071" w:type="dxa"/>
          </w:tcPr>
          <w:p w14:paraId="0FC6494E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Contactless proximity objects - Part 2: Radio frequency power and signal interface - Amendment 1: Dynamic power level management</w:t>
            </w:r>
          </w:p>
        </w:tc>
      </w:tr>
      <w:tr w:rsidR="00C95C71" w14:paraId="6F982A89" w14:textId="77777777" w:rsidTr="00524BE7">
        <w:trPr>
          <w:trHeight w:val="871"/>
        </w:trPr>
        <w:tc>
          <w:tcPr>
            <w:tcW w:w="4747" w:type="dxa"/>
          </w:tcPr>
          <w:p w14:paraId="513CAEFD" w14:textId="6C1CD53D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ISO/IEC 14443-3:2018/AM1:2021</w:t>
            </w:r>
          </w:p>
        </w:tc>
        <w:tc>
          <w:tcPr>
            <w:tcW w:w="6071" w:type="dxa"/>
          </w:tcPr>
          <w:p w14:paraId="20120D62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Contactless proximity objects - Part 3: Initialization and anticollision - Amendment 1: Dynamic power level management</w:t>
            </w:r>
          </w:p>
        </w:tc>
      </w:tr>
      <w:tr w:rsidR="00C95C71" w14:paraId="6B1CBEFE" w14:textId="77777777" w:rsidTr="00524BE7">
        <w:trPr>
          <w:trHeight w:val="871"/>
        </w:trPr>
        <w:tc>
          <w:tcPr>
            <w:tcW w:w="4747" w:type="dxa"/>
          </w:tcPr>
          <w:p w14:paraId="3BA4C3FA" w14:textId="292D7481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14443-3:2018/AM2:2020</w:t>
            </w:r>
          </w:p>
        </w:tc>
        <w:tc>
          <w:tcPr>
            <w:tcW w:w="6071" w:type="dxa"/>
          </w:tcPr>
          <w:p w14:paraId="3AFF318D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Contactless proximity objects - Part 3: Initialization and anticollision — Amendment 2: Enhancements for harmonization</w:t>
            </w:r>
          </w:p>
        </w:tc>
      </w:tr>
      <w:tr w:rsidR="00C95C71" w14:paraId="0E51A4E1" w14:textId="77777777" w:rsidTr="00524BE7">
        <w:trPr>
          <w:trHeight w:val="871"/>
        </w:trPr>
        <w:tc>
          <w:tcPr>
            <w:tcW w:w="4747" w:type="dxa"/>
          </w:tcPr>
          <w:p w14:paraId="7D92B200" w14:textId="4FDB4FB4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14443-4:2018/AM2:2020</w:t>
            </w:r>
          </w:p>
        </w:tc>
        <w:tc>
          <w:tcPr>
            <w:tcW w:w="6071" w:type="dxa"/>
          </w:tcPr>
          <w:p w14:paraId="7FC39C57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Cards and security devices for personal identification - Contactless proximity objects - Part 4: Transmission protocol - Amendment 2: Enhancements for harmonization</w:t>
            </w:r>
          </w:p>
        </w:tc>
      </w:tr>
      <w:tr w:rsidR="00C95C71" w14:paraId="06541CB6" w14:textId="77777777" w:rsidTr="00524BE7">
        <w:trPr>
          <w:trHeight w:val="581"/>
        </w:trPr>
        <w:tc>
          <w:tcPr>
            <w:tcW w:w="4747" w:type="dxa"/>
          </w:tcPr>
          <w:p w14:paraId="6D2EF52C" w14:textId="2B8D9A3D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17839-1:2014</w:t>
            </w:r>
          </w:p>
        </w:tc>
        <w:tc>
          <w:tcPr>
            <w:tcW w:w="6071" w:type="dxa"/>
          </w:tcPr>
          <w:p w14:paraId="3D8083FC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Biometric System-on-Card - Part 1: Core requirements</w:t>
            </w:r>
          </w:p>
        </w:tc>
      </w:tr>
      <w:tr w:rsidR="00C95C71" w14:paraId="7E259975" w14:textId="77777777" w:rsidTr="00524BE7">
        <w:trPr>
          <w:trHeight w:val="871"/>
        </w:trPr>
        <w:tc>
          <w:tcPr>
            <w:tcW w:w="4747" w:type="dxa"/>
          </w:tcPr>
          <w:p w14:paraId="63DE3480" w14:textId="7262D493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17839-2:2015/AM1:2021</w:t>
            </w:r>
          </w:p>
        </w:tc>
        <w:tc>
          <w:tcPr>
            <w:tcW w:w="6071" w:type="dxa"/>
          </w:tcPr>
          <w:p w14:paraId="5E911027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Biometric System-on-Card - Part 2: Physical characteristics - Amendment 1: Additional specifications for fingerprint biometric capture devices</w:t>
            </w:r>
          </w:p>
        </w:tc>
      </w:tr>
      <w:tr w:rsidR="00C95C71" w14:paraId="627144F9" w14:textId="77777777" w:rsidTr="00524BE7">
        <w:trPr>
          <w:trHeight w:val="581"/>
        </w:trPr>
        <w:tc>
          <w:tcPr>
            <w:tcW w:w="4747" w:type="dxa"/>
          </w:tcPr>
          <w:p w14:paraId="037D0FEC" w14:textId="5481F101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17839-2:2015</w:t>
            </w:r>
          </w:p>
        </w:tc>
        <w:tc>
          <w:tcPr>
            <w:tcW w:w="6071" w:type="dxa"/>
          </w:tcPr>
          <w:p w14:paraId="6FD8924B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Biometric System-on-Card - Part 2: Physical characteristics</w:t>
            </w:r>
          </w:p>
        </w:tc>
      </w:tr>
      <w:tr w:rsidR="00C95C71" w14:paraId="79B4F5EF" w14:textId="77777777" w:rsidTr="00524BE7">
        <w:trPr>
          <w:trHeight w:val="581"/>
        </w:trPr>
        <w:tc>
          <w:tcPr>
            <w:tcW w:w="4747" w:type="dxa"/>
          </w:tcPr>
          <w:p w14:paraId="2E6FFCDE" w14:textId="180798E5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17839-3:2016</w:t>
            </w:r>
          </w:p>
        </w:tc>
        <w:tc>
          <w:tcPr>
            <w:tcW w:w="6071" w:type="dxa"/>
          </w:tcPr>
          <w:p w14:paraId="1944A685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Identification cards - Biometric System-on-Card - Part 3: Logical information interchange mechanism</w:t>
            </w:r>
          </w:p>
        </w:tc>
      </w:tr>
      <w:tr w:rsidR="00C95C71" w14:paraId="48CF3331" w14:textId="77777777" w:rsidTr="00524BE7">
        <w:trPr>
          <w:trHeight w:val="581"/>
        </w:trPr>
        <w:tc>
          <w:tcPr>
            <w:tcW w:w="4747" w:type="dxa"/>
          </w:tcPr>
          <w:p w14:paraId="2E4BC5D1" w14:textId="76814162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18328-1:2015</w:t>
            </w:r>
          </w:p>
        </w:tc>
        <w:tc>
          <w:tcPr>
            <w:tcW w:w="6071" w:type="dxa"/>
          </w:tcPr>
          <w:p w14:paraId="2BF09D4C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Identification cards - ICC-managed devices - Part 1: General framework</w:t>
            </w:r>
          </w:p>
        </w:tc>
      </w:tr>
      <w:tr w:rsidR="00C95C71" w14:paraId="566FEFBC" w14:textId="77777777" w:rsidTr="00524BE7">
        <w:trPr>
          <w:trHeight w:val="581"/>
        </w:trPr>
        <w:tc>
          <w:tcPr>
            <w:tcW w:w="4747" w:type="dxa"/>
          </w:tcPr>
          <w:p w14:paraId="4FEBBCAF" w14:textId="57B655A5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18328-3:2016</w:t>
            </w:r>
          </w:p>
        </w:tc>
        <w:tc>
          <w:tcPr>
            <w:tcW w:w="6071" w:type="dxa"/>
          </w:tcPr>
          <w:p w14:paraId="21B27645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Identification cards - ICC-managed devices - Part 3: Organization, </w:t>
            </w:r>
            <w:proofErr w:type="gramStart"/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security</w:t>
            </w:r>
            <w:proofErr w:type="gramEnd"/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commands for interchange</w:t>
            </w:r>
          </w:p>
        </w:tc>
      </w:tr>
      <w:tr w:rsidR="00C95C71" w14:paraId="5F3871C7" w14:textId="77777777" w:rsidTr="00524BE7">
        <w:trPr>
          <w:trHeight w:val="581"/>
        </w:trPr>
        <w:tc>
          <w:tcPr>
            <w:tcW w:w="4747" w:type="dxa"/>
          </w:tcPr>
          <w:p w14:paraId="1F4CE1C1" w14:textId="09007D53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18328-4:2018</w:t>
            </w:r>
          </w:p>
        </w:tc>
        <w:tc>
          <w:tcPr>
            <w:tcW w:w="6071" w:type="dxa"/>
          </w:tcPr>
          <w:p w14:paraId="637D7683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Identification cards - ICC-managed devices - Part 4: Test methods for logical characteristics</w:t>
            </w:r>
          </w:p>
        </w:tc>
      </w:tr>
      <w:tr w:rsidR="00C95C71" w14:paraId="45B0BCA6" w14:textId="77777777" w:rsidTr="00524BE7">
        <w:trPr>
          <w:trHeight w:val="581"/>
        </w:trPr>
        <w:tc>
          <w:tcPr>
            <w:tcW w:w="4747" w:type="dxa"/>
          </w:tcPr>
          <w:p w14:paraId="1371D89B" w14:textId="72D49F95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18584:2015</w:t>
            </w:r>
          </w:p>
        </w:tc>
        <w:tc>
          <w:tcPr>
            <w:tcW w:w="6071" w:type="dxa"/>
          </w:tcPr>
          <w:p w14:paraId="118F68B6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technology - Identification cards - Conformance test requirements for on-card biometric comparison applications</w:t>
            </w:r>
          </w:p>
        </w:tc>
      </w:tr>
      <w:tr w:rsidR="00C95C71" w14:paraId="207B1630" w14:textId="77777777" w:rsidTr="00524BE7">
        <w:trPr>
          <w:trHeight w:val="871"/>
        </w:trPr>
        <w:tc>
          <w:tcPr>
            <w:tcW w:w="4747" w:type="dxa"/>
          </w:tcPr>
          <w:p w14:paraId="2841FE6E" w14:textId="61FB0D70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ISO/IEC 18745-1:2018</w:t>
            </w:r>
          </w:p>
        </w:tc>
        <w:tc>
          <w:tcPr>
            <w:tcW w:w="6071" w:type="dxa"/>
          </w:tcPr>
          <w:p w14:paraId="06CA7870" w14:textId="77777777" w:rsidR="00C95C71" w:rsidRPr="00524BE7" w:rsidRDefault="00C95C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524B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Test methods for machine readable travel documents (MRTD) and associated devices - Part 1: Physical test methods for passport books (durability)</w:t>
            </w:r>
          </w:p>
        </w:tc>
      </w:tr>
    </w:tbl>
    <w:p w14:paraId="6C8D97FA" w14:textId="07A92BE4" w:rsidR="004E1377" w:rsidRPr="00C70F34" w:rsidRDefault="004E1377" w:rsidP="00490100">
      <w:pPr>
        <w:rPr>
          <w:rFonts w:ascii="Arial" w:hAnsi="Arial" w:cs="Arial"/>
          <w:sz w:val="20"/>
          <w:szCs w:val="20"/>
        </w:rPr>
      </w:pPr>
    </w:p>
    <w:p w14:paraId="00057A9C" w14:textId="6D3D6FA9" w:rsidR="00D777A2" w:rsidRPr="00C70F34" w:rsidRDefault="00D777A2" w:rsidP="00490100">
      <w:pPr>
        <w:rPr>
          <w:rFonts w:ascii="Arial" w:hAnsi="Arial" w:cs="Arial"/>
          <w:sz w:val="20"/>
          <w:szCs w:val="20"/>
        </w:rPr>
      </w:pPr>
    </w:p>
    <w:p w14:paraId="68F1A10D" w14:textId="77777777" w:rsidR="00D777A2" w:rsidRPr="00C70F34" w:rsidRDefault="00D777A2" w:rsidP="00490100">
      <w:pPr>
        <w:rPr>
          <w:rFonts w:ascii="Arial" w:hAnsi="Arial" w:cs="Arial"/>
          <w:sz w:val="20"/>
          <w:szCs w:val="20"/>
        </w:rPr>
      </w:pPr>
    </w:p>
    <w:sectPr w:rsidR="00D777A2" w:rsidRPr="00C70F34" w:rsidSect="00485BD0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E395" w14:textId="77777777" w:rsidR="00DD63B2" w:rsidRDefault="00DD63B2">
      <w:pPr>
        <w:spacing w:after="0" w:line="240" w:lineRule="auto"/>
      </w:pPr>
      <w:r>
        <w:separator/>
      </w:r>
    </w:p>
  </w:endnote>
  <w:endnote w:type="continuationSeparator" w:id="0">
    <w:p w14:paraId="6033146B" w14:textId="77777777" w:rsidR="00DD63B2" w:rsidRDefault="00DD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D316" w14:textId="77777777" w:rsidR="00DD63B2" w:rsidRDefault="00DD63B2">
      <w:pPr>
        <w:spacing w:after="0" w:line="240" w:lineRule="auto"/>
      </w:pPr>
      <w:r>
        <w:separator/>
      </w:r>
    </w:p>
  </w:footnote>
  <w:footnote w:type="continuationSeparator" w:id="0">
    <w:p w14:paraId="6D5F2A2E" w14:textId="77777777" w:rsidR="00DD63B2" w:rsidRDefault="00DD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5EF" w14:textId="77777777" w:rsidR="008C6EF8" w:rsidRDefault="00B67E53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3E8F91BC" wp14:editId="24D6AF17">
          <wp:extent cx="1167619" cy="4227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E918D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4F828BE3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E3D701C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7602CA8B" w14:textId="2DCC919F" w:rsidR="008C6EF8" w:rsidRDefault="00BC3A3D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700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K St</w:t>
    </w:r>
    <w:r w:rsidR="008C6EF8">
      <w:rPr>
        <w:rFonts w:ascii="Arial" w:eastAsia="Times New Roman" w:hAnsi="Arial" w:cs="Arial"/>
        <w:sz w:val="18"/>
        <w:szCs w:val="18"/>
      </w:rPr>
      <w:t>reet</w:t>
    </w:r>
    <w:r w:rsidR="008C6EF8" w:rsidRPr="008C387E">
      <w:rPr>
        <w:rFonts w:ascii="Arial" w:eastAsia="Times New Roman" w:hAnsi="Arial" w:cs="Arial"/>
        <w:sz w:val="18"/>
        <w:szCs w:val="18"/>
      </w:rPr>
      <w:t xml:space="preserve"> NW, Suite 6</w:t>
    </w:r>
    <w:r>
      <w:rPr>
        <w:rFonts w:ascii="Arial" w:eastAsia="Times New Roman" w:hAnsi="Arial" w:cs="Arial"/>
        <w:sz w:val="18"/>
        <w:szCs w:val="18"/>
      </w:rPr>
      <w:t>0</w:t>
    </w:r>
    <w:r w:rsidR="008C6EF8" w:rsidRPr="008C387E">
      <w:rPr>
        <w:rFonts w:ascii="Arial" w:eastAsia="Times New Roman" w:hAnsi="Arial" w:cs="Arial"/>
        <w:sz w:val="18"/>
        <w:szCs w:val="18"/>
      </w:rPr>
      <w:t>0, Washington, DC 2000</w:t>
    </w:r>
    <w:r>
      <w:rPr>
        <w:rFonts w:ascii="Arial" w:eastAsia="Times New Roman" w:hAnsi="Arial" w:cs="Arial"/>
        <w:sz w:val="18"/>
        <w:szCs w:val="18"/>
      </w:rPr>
      <w:t>1</w:t>
    </w:r>
  </w:p>
  <w:p w14:paraId="642137AC" w14:textId="77777777" w:rsidR="000D2CA8" w:rsidRDefault="00DD63B2" w:rsidP="000D2CA8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0D2CA8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6961A104" w14:textId="77777777" w:rsidR="000D2CA8" w:rsidRDefault="000D2CA8" w:rsidP="000D2CA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B07DE5E" wp14:editId="57EAB442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2122855" wp14:editId="6DA23558">
          <wp:extent cx="238125" cy="238125"/>
          <wp:effectExtent l="0" t="0" r="9525" b="952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02E56377" wp14:editId="35256E53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B06FE" w14:textId="77777777" w:rsidR="008C6EF8" w:rsidRDefault="00DD63B2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06326E">
        <v:rect id="_x0000_i1025" style="width:462.85pt;height:1.5pt" o:hrpct="989" o:hralign="center" o:hrstd="t" o:hrnoshade="t" o:hr="t" fillcolor="#c00000" stroked="f"/>
      </w:pict>
    </w:r>
  </w:p>
  <w:p w14:paraId="61F837BB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20009"/>
    <w:rsid w:val="00033B61"/>
    <w:rsid w:val="00066E6A"/>
    <w:rsid w:val="00071865"/>
    <w:rsid w:val="00094855"/>
    <w:rsid w:val="00094E53"/>
    <w:rsid w:val="000A01D4"/>
    <w:rsid w:val="000C7DA9"/>
    <w:rsid w:val="000D2CA8"/>
    <w:rsid w:val="000E11B6"/>
    <w:rsid w:val="000F147D"/>
    <w:rsid w:val="000F1AC0"/>
    <w:rsid w:val="00160060"/>
    <w:rsid w:val="001627F8"/>
    <w:rsid w:val="00180AE2"/>
    <w:rsid w:val="00182746"/>
    <w:rsid w:val="00193197"/>
    <w:rsid w:val="001A1114"/>
    <w:rsid w:val="001B0A29"/>
    <w:rsid w:val="001C1048"/>
    <w:rsid w:val="00206E21"/>
    <w:rsid w:val="0024043D"/>
    <w:rsid w:val="002562F3"/>
    <w:rsid w:val="00277A11"/>
    <w:rsid w:val="002C35B4"/>
    <w:rsid w:val="002F58FC"/>
    <w:rsid w:val="00302D50"/>
    <w:rsid w:val="00367520"/>
    <w:rsid w:val="00373386"/>
    <w:rsid w:val="00385A1F"/>
    <w:rsid w:val="00387F7F"/>
    <w:rsid w:val="003D575B"/>
    <w:rsid w:val="003E35FB"/>
    <w:rsid w:val="003F2955"/>
    <w:rsid w:val="00404784"/>
    <w:rsid w:val="004359FA"/>
    <w:rsid w:val="00445A88"/>
    <w:rsid w:val="00485BD0"/>
    <w:rsid w:val="00490100"/>
    <w:rsid w:val="004A1F2A"/>
    <w:rsid w:val="004B045E"/>
    <w:rsid w:val="004B478D"/>
    <w:rsid w:val="004C592E"/>
    <w:rsid w:val="004E1377"/>
    <w:rsid w:val="005014D1"/>
    <w:rsid w:val="00501C49"/>
    <w:rsid w:val="00524BE7"/>
    <w:rsid w:val="00525A4C"/>
    <w:rsid w:val="00541774"/>
    <w:rsid w:val="00566BA6"/>
    <w:rsid w:val="005B02DF"/>
    <w:rsid w:val="005C286F"/>
    <w:rsid w:val="005C3638"/>
    <w:rsid w:val="005D3B56"/>
    <w:rsid w:val="005F334E"/>
    <w:rsid w:val="00612845"/>
    <w:rsid w:val="006212D5"/>
    <w:rsid w:val="00625A10"/>
    <w:rsid w:val="00630ABE"/>
    <w:rsid w:val="00643169"/>
    <w:rsid w:val="006550CC"/>
    <w:rsid w:val="00662DF0"/>
    <w:rsid w:val="00673524"/>
    <w:rsid w:val="00687873"/>
    <w:rsid w:val="00691927"/>
    <w:rsid w:val="006C213F"/>
    <w:rsid w:val="006D3D20"/>
    <w:rsid w:val="006D48E3"/>
    <w:rsid w:val="006E68D9"/>
    <w:rsid w:val="00705255"/>
    <w:rsid w:val="00717A37"/>
    <w:rsid w:val="007448CA"/>
    <w:rsid w:val="00771B6A"/>
    <w:rsid w:val="00772536"/>
    <w:rsid w:val="007737E6"/>
    <w:rsid w:val="0078164F"/>
    <w:rsid w:val="007959D4"/>
    <w:rsid w:val="007A15E2"/>
    <w:rsid w:val="007A31E2"/>
    <w:rsid w:val="007A7CDD"/>
    <w:rsid w:val="007C582C"/>
    <w:rsid w:val="007F33D9"/>
    <w:rsid w:val="007F5771"/>
    <w:rsid w:val="0085128A"/>
    <w:rsid w:val="008A0835"/>
    <w:rsid w:val="008C387E"/>
    <w:rsid w:val="008C4EA8"/>
    <w:rsid w:val="008C6EF8"/>
    <w:rsid w:val="008D5854"/>
    <w:rsid w:val="00912366"/>
    <w:rsid w:val="00917D26"/>
    <w:rsid w:val="00941DC2"/>
    <w:rsid w:val="00946C13"/>
    <w:rsid w:val="00977F51"/>
    <w:rsid w:val="009A6984"/>
    <w:rsid w:val="009C625B"/>
    <w:rsid w:val="009D25D4"/>
    <w:rsid w:val="009E1357"/>
    <w:rsid w:val="00A455BF"/>
    <w:rsid w:val="00A51F6F"/>
    <w:rsid w:val="00A82C75"/>
    <w:rsid w:val="00A8356E"/>
    <w:rsid w:val="00A972F2"/>
    <w:rsid w:val="00AB2806"/>
    <w:rsid w:val="00AB49FA"/>
    <w:rsid w:val="00AC5BEF"/>
    <w:rsid w:val="00AC69F9"/>
    <w:rsid w:val="00B00E2D"/>
    <w:rsid w:val="00B04518"/>
    <w:rsid w:val="00B04D57"/>
    <w:rsid w:val="00B32003"/>
    <w:rsid w:val="00B36BB5"/>
    <w:rsid w:val="00B37E42"/>
    <w:rsid w:val="00B67E53"/>
    <w:rsid w:val="00BB74C2"/>
    <w:rsid w:val="00BC3A3D"/>
    <w:rsid w:val="00BC4024"/>
    <w:rsid w:val="00BD099E"/>
    <w:rsid w:val="00C06886"/>
    <w:rsid w:val="00C10847"/>
    <w:rsid w:val="00C23C38"/>
    <w:rsid w:val="00C30CD2"/>
    <w:rsid w:val="00C3314E"/>
    <w:rsid w:val="00C617CF"/>
    <w:rsid w:val="00C66E50"/>
    <w:rsid w:val="00C70F34"/>
    <w:rsid w:val="00C8219C"/>
    <w:rsid w:val="00C95C71"/>
    <w:rsid w:val="00CA54A5"/>
    <w:rsid w:val="00CB19F1"/>
    <w:rsid w:val="00CB6568"/>
    <w:rsid w:val="00CB7148"/>
    <w:rsid w:val="00CC2E3A"/>
    <w:rsid w:val="00CD021A"/>
    <w:rsid w:val="00CD0FC5"/>
    <w:rsid w:val="00CE1D16"/>
    <w:rsid w:val="00D15268"/>
    <w:rsid w:val="00D1622D"/>
    <w:rsid w:val="00D5105E"/>
    <w:rsid w:val="00D777A2"/>
    <w:rsid w:val="00D87D39"/>
    <w:rsid w:val="00DD63B2"/>
    <w:rsid w:val="00E14133"/>
    <w:rsid w:val="00E15334"/>
    <w:rsid w:val="00E35F59"/>
    <w:rsid w:val="00E54BF1"/>
    <w:rsid w:val="00E7237D"/>
    <w:rsid w:val="00E75C8E"/>
    <w:rsid w:val="00E8124A"/>
    <w:rsid w:val="00EF2F2B"/>
    <w:rsid w:val="00F10C1E"/>
    <w:rsid w:val="00F82D8B"/>
    <w:rsid w:val="00F903C7"/>
    <w:rsid w:val="00F94472"/>
    <w:rsid w:val="00FA55C0"/>
    <w:rsid w:val="00FD5B18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8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23C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ittle@iti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ents@iti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standards.inci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i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CA0A-CA4D-41C9-9D57-0AB4DD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2014-01-13T18:55:00Z</dcterms:created>
  <dcterms:modified xsi:type="dcterms:W3CDTF">2021-07-29T18:35:00Z</dcterms:modified>
</cp:coreProperties>
</file>