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3C6A" w:rsidRDefault="00D53C6A" w:rsidP="00D53C6A">
      <w:pPr>
        <w:spacing w:after="0" w:line="240" w:lineRule="auto"/>
        <w:rPr>
          <w:rFonts w:asciiTheme="majorHAnsi" w:eastAsia="Times New Roman" w:hAnsiTheme="majorHAnsi" w:cstheme="majorBidi"/>
          <w:b/>
          <w:bCs/>
          <w:color w:val="000000" w:themeColor="text1"/>
          <w:sz w:val="26"/>
          <w:szCs w:val="26"/>
        </w:rPr>
      </w:pPr>
      <w:r w:rsidRPr="00D53C6A">
        <w:rPr>
          <w:rFonts w:asciiTheme="majorHAnsi" w:eastAsia="Times New Roman" w:hAnsiTheme="majorHAnsi" w:cstheme="majorBidi"/>
          <w:b/>
          <w:bCs/>
          <w:color w:val="000000" w:themeColor="text1"/>
          <w:sz w:val="26"/>
          <w:szCs w:val="26"/>
        </w:rPr>
        <w:t>INCITS Annual Report</w:t>
      </w:r>
    </w:p>
    <w:p w:rsidR="00D53C6A" w:rsidRPr="00D53C6A" w:rsidRDefault="00D53C6A" w:rsidP="00D53C6A">
      <w:pPr>
        <w:spacing w:after="0" w:line="240" w:lineRule="auto"/>
        <w:rPr>
          <w:rFonts w:asciiTheme="majorHAnsi" w:eastAsia="Times New Roman" w:hAnsiTheme="majorHAnsi" w:cstheme="majorBidi"/>
          <w:b/>
          <w:bCs/>
          <w:color w:val="000000" w:themeColor="text1"/>
          <w:sz w:val="26"/>
          <w:szCs w:val="26"/>
        </w:rPr>
      </w:pPr>
    </w:p>
    <w:p w:rsidR="00D53C6A" w:rsidRDefault="00D53C6A" w:rsidP="00D53C6A">
      <w:pPr>
        <w:spacing w:after="0" w:line="240" w:lineRule="auto"/>
        <w:rPr>
          <w:rFonts w:asciiTheme="majorHAnsi" w:eastAsia="Times New Roman" w:hAnsiTheme="majorHAnsi" w:cstheme="majorBidi"/>
          <w:b/>
          <w:bCs/>
          <w:color w:val="000000" w:themeColor="text1"/>
          <w:sz w:val="26"/>
          <w:szCs w:val="26"/>
        </w:rPr>
      </w:pPr>
      <w:r w:rsidRPr="00D53C6A">
        <w:rPr>
          <w:rFonts w:asciiTheme="majorHAnsi" w:eastAsia="Times New Roman" w:hAnsiTheme="majorHAnsi" w:cstheme="majorBidi"/>
          <w:b/>
          <w:bCs/>
          <w:color w:val="000000" w:themeColor="text1"/>
          <w:sz w:val="26"/>
          <w:szCs w:val="26"/>
        </w:rPr>
        <w:t>Annual Report for: [INCITS Fibre Channel (T11) Technical C</w:t>
      </w:r>
      <w:r w:rsidR="0017511B">
        <w:rPr>
          <w:rFonts w:asciiTheme="majorHAnsi" w:eastAsia="Times New Roman" w:hAnsiTheme="majorHAnsi" w:cstheme="majorBidi"/>
          <w:b/>
          <w:bCs/>
          <w:color w:val="000000" w:themeColor="text1"/>
          <w:sz w:val="26"/>
          <w:szCs w:val="26"/>
        </w:rPr>
        <w:t>ommittee FC-TC, (</w:t>
      </w:r>
      <w:r w:rsidR="005C02F0">
        <w:rPr>
          <w:rFonts w:asciiTheme="majorHAnsi" w:eastAsia="Times New Roman" w:hAnsiTheme="majorHAnsi" w:cstheme="majorBidi"/>
          <w:b/>
          <w:bCs/>
          <w:color w:val="000000" w:themeColor="text1"/>
          <w:sz w:val="26"/>
          <w:szCs w:val="26"/>
        </w:rPr>
        <w:t>T11-2018</w:t>
      </w:r>
      <w:r w:rsidR="00645B50">
        <w:rPr>
          <w:rFonts w:asciiTheme="majorHAnsi" w:eastAsia="Times New Roman" w:hAnsiTheme="majorHAnsi" w:cstheme="majorBidi"/>
          <w:b/>
          <w:bCs/>
          <w:color w:val="000000" w:themeColor="text1"/>
          <w:sz w:val="26"/>
          <w:szCs w:val="26"/>
        </w:rPr>
        <w:t>-00</w:t>
      </w:r>
      <w:r w:rsidR="005C02F0">
        <w:rPr>
          <w:rFonts w:asciiTheme="majorHAnsi" w:eastAsia="Times New Roman" w:hAnsiTheme="majorHAnsi" w:cstheme="majorBidi"/>
          <w:b/>
          <w:bCs/>
          <w:color w:val="000000" w:themeColor="text1"/>
          <w:sz w:val="26"/>
          <w:szCs w:val="26"/>
        </w:rPr>
        <w:t>TBD</w:t>
      </w:r>
      <w:r w:rsidR="00E83DE2">
        <w:rPr>
          <w:rFonts w:asciiTheme="majorHAnsi" w:eastAsia="Times New Roman" w:hAnsiTheme="majorHAnsi" w:cstheme="majorBidi"/>
          <w:b/>
          <w:bCs/>
          <w:color w:val="000000" w:themeColor="text1"/>
          <w:sz w:val="26"/>
          <w:szCs w:val="26"/>
        </w:rPr>
        <w:t>-v000</w:t>
      </w:r>
      <w:r>
        <w:rPr>
          <w:rFonts w:asciiTheme="majorHAnsi" w:eastAsia="Times New Roman" w:hAnsiTheme="majorHAnsi" w:cstheme="majorBidi"/>
          <w:b/>
          <w:bCs/>
          <w:color w:val="000000" w:themeColor="text1"/>
          <w:sz w:val="26"/>
          <w:szCs w:val="26"/>
        </w:rPr>
        <w:t xml:space="preserve">)] </w:t>
      </w:r>
    </w:p>
    <w:p w:rsidR="00D53C6A" w:rsidRDefault="00D53C6A" w:rsidP="00D53C6A">
      <w:pPr>
        <w:spacing w:after="0" w:line="240" w:lineRule="auto"/>
        <w:rPr>
          <w:rFonts w:asciiTheme="majorHAnsi" w:eastAsia="Times New Roman" w:hAnsiTheme="majorHAnsi" w:cstheme="majorBidi"/>
          <w:b/>
          <w:bCs/>
          <w:color w:val="000000" w:themeColor="text1"/>
          <w:sz w:val="26"/>
          <w:szCs w:val="26"/>
        </w:rPr>
      </w:pPr>
    </w:p>
    <w:p w:rsidR="008F3A10" w:rsidRPr="00D53C6A" w:rsidRDefault="00D53C6A" w:rsidP="00D53C6A">
      <w:pPr>
        <w:spacing w:after="0" w:line="240" w:lineRule="auto"/>
        <w:rPr>
          <w:rFonts w:asciiTheme="majorHAnsi" w:eastAsia="Times New Roman" w:hAnsiTheme="majorHAnsi" w:cstheme="majorBidi"/>
          <w:b/>
          <w:bCs/>
          <w:color w:val="000000" w:themeColor="text1"/>
          <w:sz w:val="26"/>
          <w:szCs w:val="26"/>
        </w:rPr>
      </w:pPr>
      <w:r w:rsidRPr="00D53C6A">
        <w:rPr>
          <w:rFonts w:asciiTheme="majorHAnsi" w:eastAsia="Times New Roman" w:hAnsiTheme="majorHAnsi" w:cstheme="majorBidi"/>
          <w:b/>
          <w:bCs/>
          <w:color w:val="000000" w:themeColor="text1"/>
          <w:sz w:val="26"/>
          <w:szCs w:val="26"/>
        </w:rPr>
        <w:t>Co</w:t>
      </w:r>
      <w:r>
        <w:rPr>
          <w:rFonts w:asciiTheme="majorHAnsi" w:eastAsia="Times New Roman" w:hAnsiTheme="majorHAnsi" w:cstheme="majorBidi"/>
          <w:b/>
          <w:bCs/>
          <w:color w:val="000000" w:themeColor="text1"/>
          <w:sz w:val="26"/>
          <w:szCs w:val="26"/>
        </w:rPr>
        <w:t>vering the Period from [</w:t>
      </w:r>
      <w:r w:rsidR="00D60703">
        <w:rPr>
          <w:rFonts w:asciiTheme="majorHAnsi" w:eastAsia="Times New Roman" w:hAnsiTheme="majorHAnsi" w:cstheme="majorBidi"/>
          <w:b/>
          <w:bCs/>
          <w:color w:val="000000" w:themeColor="text1"/>
          <w:sz w:val="26"/>
          <w:szCs w:val="26"/>
        </w:rPr>
        <w:t xml:space="preserve">April </w:t>
      </w:r>
      <w:r w:rsidR="005C02F0">
        <w:rPr>
          <w:rFonts w:asciiTheme="majorHAnsi" w:eastAsia="Times New Roman" w:hAnsiTheme="majorHAnsi" w:cstheme="majorBidi"/>
          <w:b/>
          <w:bCs/>
          <w:color w:val="000000" w:themeColor="text1"/>
          <w:sz w:val="26"/>
          <w:szCs w:val="26"/>
        </w:rPr>
        <w:t>2017</w:t>
      </w:r>
      <w:r w:rsidRPr="00D53C6A">
        <w:rPr>
          <w:rFonts w:asciiTheme="majorHAnsi" w:eastAsia="Times New Roman" w:hAnsiTheme="majorHAnsi" w:cstheme="majorBidi"/>
          <w:b/>
          <w:bCs/>
          <w:color w:val="000000" w:themeColor="text1"/>
          <w:sz w:val="26"/>
          <w:szCs w:val="26"/>
        </w:rPr>
        <w:t xml:space="preserve">] to [March </w:t>
      </w:r>
      <w:r w:rsidR="005C02F0">
        <w:rPr>
          <w:rFonts w:asciiTheme="majorHAnsi" w:eastAsia="Times New Roman" w:hAnsiTheme="majorHAnsi" w:cstheme="majorBidi"/>
          <w:b/>
          <w:bCs/>
          <w:color w:val="000000" w:themeColor="text1"/>
          <w:sz w:val="26"/>
          <w:szCs w:val="26"/>
        </w:rPr>
        <w:t>2018</w:t>
      </w:r>
      <w:r w:rsidRPr="00D53C6A">
        <w:rPr>
          <w:rFonts w:asciiTheme="majorHAnsi" w:eastAsia="Times New Roman" w:hAnsiTheme="majorHAnsi" w:cstheme="majorBidi"/>
          <w:b/>
          <w:bCs/>
          <w:color w:val="000000" w:themeColor="text1"/>
          <w:sz w:val="26"/>
          <w:szCs w:val="26"/>
        </w:rPr>
        <w:t>]</w:t>
      </w:r>
      <w:r w:rsidR="00F74DAB">
        <w:rPr>
          <w:rFonts w:ascii="Arial" w:eastAsia="Times New Roman" w:hAnsi="Arial" w:cs="Arial"/>
          <w:sz w:val="20"/>
          <w:szCs w:val="20"/>
        </w:rPr>
        <w:pict>
          <v:rect id="_x0000_i1025" style="width:468pt;height:1.5pt" o:hrstd="t" o:hr="t" fillcolor="#a0a0a0" stroked="f"/>
        </w:pict>
      </w:r>
    </w:p>
    <w:p w:rsidR="008F3A10" w:rsidRPr="007549B3" w:rsidRDefault="008F3A10" w:rsidP="00C57C24">
      <w:pPr>
        <w:pStyle w:val="Heading4"/>
        <w:rPr>
          <w:rFonts w:eastAsia="Times New Roman"/>
        </w:rPr>
      </w:pPr>
      <w:r w:rsidRPr="007549B3">
        <w:rPr>
          <w:rFonts w:eastAsia="Times New Roman"/>
        </w:rPr>
        <w:t>Informal Description of Work:</w:t>
      </w:r>
    </w:p>
    <w:p w:rsidR="008F3A10" w:rsidRDefault="004272D5" w:rsidP="00331189">
      <w:pPr>
        <w:pStyle w:val="BODY"/>
      </w:pPr>
      <w:r w:rsidRPr="007F35FD">
        <w:t>The Fibre Channel (T11) Technical Committee (FC-TC) is responsible for storage interconnect and networking families of standards, including Fibre Channel, Fibre Channel protocol mappings to higher level architectures, Fibre Channel mappings to alternate physical transports, SBCON, HIPPI, and a number of related management and API standards.</w:t>
      </w:r>
      <w:r w:rsidR="00882B54">
        <w:t xml:space="preserve"> FC-TC is co-TAG to ISO/IEC/JTC </w:t>
      </w:r>
      <w:r w:rsidRPr="007F35FD">
        <w:t>1/SC 25/WG 4 along with INCITS TC T10</w:t>
      </w:r>
      <w:r w:rsidR="001F1F80">
        <w:t xml:space="preserve"> and INCITS TC T13</w:t>
      </w:r>
      <w:r w:rsidRPr="007F35FD">
        <w:t>. Fibre Channel is the main technology used to implement Storage Area Networks, allowing the many benefits from storage consolidation and remote storage access. Most standards development for FC-TC projects is a</w:t>
      </w:r>
      <w:r>
        <w:t>ctually performed within the TC</w:t>
      </w:r>
      <w:r w:rsidR="008F3A10" w:rsidRPr="00E64DD3">
        <w:t>.</w:t>
      </w:r>
    </w:p>
    <w:p w:rsidR="00331189" w:rsidRPr="00E64DD3" w:rsidRDefault="00F74DAB" w:rsidP="008F3A10">
      <w:p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pict>
          <v:rect id="_x0000_i1026" style="width:468pt;height:1.5pt" o:hralign="center" o:hrstd="t" o:hr="t" fillcolor="#a0a0a0" stroked="f"/>
        </w:pict>
      </w:r>
    </w:p>
    <w:p w:rsidR="008F3A10" w:rsidRPr="00E64DD3" w:rsidRDefault="008F3A10" w:rsidP="00331189">
      <w:pPr>
        <w:pStyle w:val="Heading4"/>
        <w:numPr>
          <w:ilvl w:val="0"/>
          <w:numId w:val="5"/>
        </w:numPr>
        <w:rPr>
          <w:rFonts w:eastAsia="Times New Roman"/>
        </w:rPr>
      </w:pPr>
      <w:r w:rsidRPr="00E64DD3">
        <w:rPr>
          <w:rFonts w:eastAsia="Times New Roman"/>
        </w:rPr>
        <w:t>Executive Summary</w:t>
      </w:r>
    </w:p>
    <w:p w:rsidR="004B630F" w:rsidRDefault="00B019A2" w:rsidP="00FC2005">
      <w:pPr>
        <w:pStyle w:val="BODY"/>
      </w:pPr>
      <w:r>
        <w:t>This</w:t>
      </w:r>
      <w:r w:rsidR="00FC2005">
        <w:t xml:space="preserve"> reporting period is marked by the comp</w:t>
      </w:r>
      <w:r w:rsidR="00722758">
        <w:t xml:space="preserve">letion </w:t>
      </w:r>
      <w:r w:rsidR="00CB72B4">
        <w:t xml:space="preserve">or near completion </w:t>
      </w:r>
      <w:r w:rsidR="00722758">
        <w:t xml:space="preserve">of </w:t>
      </w:r>
      <w:r w:rsidR="00CB72B4">
        <w:t>several</w:t>
      </w:r>
      <w:r w:rsidR="00722758">
        <w:t xml:space="preserve"> Fibre Channel </w:t>
      </w:r>
      <w:r w:rsidR="00CB72B4">
        <w:t>standards</w:t>
      </w:r>
      <w:r w:rsidR="00FC2005">
        <w:t xml:space="preserve"> and technical reports. </w:t>
      </w:r>
      <w:r w:rsidR="00CB72B4">
        <w:t xml:space="preserve">The published standard is </w:t>
      </w:r>
      <w:r w:rsidR="00F91023">
        <w:t xml:space="preserve">the </w:t>
      </w:r>
      <w:r>
        <w:t>FC-</w:t>
      </w:r>
      <w:r w:rsidR="00CB72B4">
        <w:t>GS-7</w:t>
      </w:r>
      <w:r w:rsidR="00FC2005">
        <w:t xml:space="preserve"> </w:t>
      </w:r>
      <w:r w:rsidR="00745D7C">
        <w:t>standard</w:t>
      </w:r>
      <w:r w:rsidR="008164ED">
        <w:t xml:space="preserve"> </w:t>
      </w:r>
      <w:r w:rsidR="00FC2005">
        <w:t xml:space="preserve">which defines </w:t>
      </w:r>
      <w:r w:rsidR="008164ED">
        <w:t xml:space="preserve">the </w:t>
      </w:r>
      <w:r w:rsidR="00CB72B4">
        <w:t>Fabric Services</w:t>
      </w:r>
      <w:r w:rsidR="008164ED">
        <w:t xml:space="preserve"> </w:t>
      </w:r>
      <w:r w:rsidR="00CB72B4">
        <w:t xml:space="preserve">for Fibre Channel. The standards nearing completion are FC-NVMe </w:t>
      </w:r>
      <w:r w:rsidR="004B630F">
        <w:t xml:space="preserve">which </w:t>
      </w:r>
      <w:r w:rsidR="00CB72B4">
        <w:t xml:space="preserve">describes the mapping of NVMe to Fibre Channel, </w:t>
      </w:r>
      <w:r w:rsidR="00F91023">
        <w:t xml:space="preserve">the </w:t>
      </w:r>
      <w:r w:rsidR="00CB72B4">
        <w:t>FC-PI-7 and FC-FS-5 standards</w:t>
      </w:r>
      <w:r w:rsidR="00F91023">
        <w:t xml:space="preserve"> </w:t>
      </w:r>
      <w:r w:rsidR="00CB72B4">
        <w:t>which provide the next speed bump for Fibre Channel (64/</w:t>
      </w:r>
      <w:proofErr w:type="spellStart"/>
      <w:r w:rsidR="00CB72B4">
        <w:t>256GFC</w:t>
      </w:r>
      <w:proofErr w:type="spellEnd"/>
      <w:r w:rsidR="00CB72B4">
        <w:t xml:space="preserve">), the FC-SB-6 standard which defines the next revision of FICON, and the FC-LS-3 </w:t>
      </w:r>
      <w:r w:rsidR="00F91023">
        <w:t>standard</w:t>
      </w:r>
      <w:r w:rsidR="00D82EA4">
        <w:t xml:space="preserve"> </w:t>
      </w:r>
      <w:r w:rsidR="00CB72B4">
        <w:t xml:space="preserve">which </w:t>
      </w:r>
      <w:r w:rsidR="00D82EA4">
        <w:t>enhances the base Fibre Channel architecture</w:t>
      </w:r>
      <w:r w:rsidR="00CB72B4">
        <w:t>.</w:t>
      </w:r>
    </w:p>
    <w:p w:rsidR="00FC2005" w:rsidRDefault="00EB6D45" w:rsidP="00FC2005">
      <w:pPr>
        <w:pStyle w:val="BODY"/>
      </w:pPr>
      <w:r>
        <w:t xml:space="preserve">The FC-EE technical report which addresses energy efficiency for Fibre Channel </w:t>
      </w:r>
      <w:r w:rsidR="00C10213">
        <w:t>is also nearing completion.</w:t>
      </w:r>
    </w:p>
    <w:p w:rsidR="00FC2005" w:rsidRDefault="00FC2005" w:rsidP="00FC2005">
      <w:pPr>
        <w:pStyle w:val="BODY"/>
      </w:pPr>
      <w:r>
        <w:t xml:space="preserve">Going forward T11 continues </w:t>
      </w:r>
      <w:r w:rsidR="00467ECD">
        <w:t xml:space="preserve">to </w:t>
      </w:r>
      <w:r w:rsidR="00E20276">
        <w:t xml:space="preserve">establish news areas of work for Fibre Channel. </w:t>
      </w:r>
      <w:r>
        <w:t xml:space="preserve">T11 is considering the impact </w:t>
      </w:r>
      <w:r w:rsidR="00C10213">
        <w:t xml:space="preserve">of </w:t>
      </w:r>
      <w:r>
        <w:t>solid state storage devices (SSDs), cloud</w:t>
      </w:r>
      <w:r w:rsidR="00B347B3">
        <w:t>, virtualization,</w:t>
      </w:r>
      <w:r>
        <w:t xml:space="preserve"> and software </w:t>
      </w:r>
      <w:r w:rsidR="002952C8">
        <w:t>defined storage technologies have</w:t>
      </w:r>
      <w:r>
        <w:t xml:space="preserve"> on Fibre Channel and </w:t>
      </w:r>
      <w:proofErr w:type="spellStart"/>
      <w:r>
        <w:t>SANs</w:t>
      </w:r>
      <w:proofErr w:type="spellEnd"/>
      <w:r>
        <w:t>.</w:t>
      </w:r>
    </w:p>
    <w:p w:rsidR="00DB0966" w:rsidRDefault="00FB158E" w:rsidP="00FC2005">
      <w:pPr>
        <w:pStyle w:val="BODY"/>
      </w:pPr>
      <w:r>
        <w:t xml:space="preserve">The </w:t>
      </w:r>
      <w:r w:rsidR="00DB0966">
        <w:t>FC-NVMe</w:t>
      </w:r>
      <w:r>
        <w:t>-2</w:t>
      </w:r>
      <w:r w:rsidR="00DB0966">
        <w:t xml:space="preserve"> project </w:t>
      </w:r>
      <w:r>
        <w:t xml:space="preserve">enhances </w:t>
      </w:r>
      <w:r w:rsidR="00C10213">
        <w:t xml:space="preserve">NVMe </w:t>
      </w:r>
      <w:r w:rsidR="00467ECD">
        <w:t xml:space="preserve">over Fibre Channel </w:t>
      </w:r>
      <w:r w:rsidR="00C10213">
        <w:t>by</w:t>
      </w:r>
      <w:r w:rsidR="00155DD0">
        <w:t xml:space="preserve"> developing new error recovery mechanisms. </w:t>
      </w:r>
      <w:r w:rsidR="00145911">
        <w:t>This work is in concert with the Fibre Channel over Fabrics work being</w:t>
      </w:r>
      <w:r w:rsidR="00155DD0">
        <w:t xml:space="preserve"> done in the NVM Express group. Also a new project is being formed to develop a 128 GFC serial variant of Fibre Channel.</w:t>
      </w:r>
    </w:p>
    <w:p w:rsidR="008F3A10" w:rsidRPr="00E64DD3" w:rsidRDefault="00FC2005" w:rsidP="00FC2005">
      <w:pPr>
        <w:pStyle w:val="BODY"/>
      </w:pPr>
      <w:r>
        <w:t>T11 maintains active liaison with a number of standards organizations and provides liaison for some organizations publishing standards through INCITS. Most of standards developed by FC-TC are later forwarded to ISO/IEC JTC1 SC25 WG4 for international standardization.</w:t>
      </w:r>
    </w:p>
    <w:p w:rsidR="008F3A10" w:rsidRPr="006F5379" w:rsidRDefault="008F3A10" w:rsidP="00331189">
      <w:pPr>
        <w:pStyle w:val="Heading4"/>
        <w:numPr>
          <w:ilvl w:val="0"/>
          <w:numId w:val="5"/>
        </w:numPr>
        <w:rPr>
          <w:rFonts w:eastAsia="Times New Roman"/>
        </w:rPr>
      </w:pPr>
      <w:r w:rsidRPr="006F5379">
        <w:rPr>
          <w:rFonts w:eastAsia="Times New Roman"/>
        </w:rPr>
        <w:t>Accomplishments</w:t>
      </w:r>
    </w:p>
    <w:p w:rsidR="007D0541" w:rsidRDefault="007D0541" w:rsidP="007D0541">
      <w:pPr>
        <w:pStyle w:val="BODY"/>
      </w:pPr>
      <w:r>
        <w:t xml:space="preserve">The committee has </w:t>
      </w:r>
      <w:r w:rsidR="002F77C4">
        <w:t xml:space="preserve">published </w:t>
      </w:r>
      <w:r w:rsidR="00C002CA">
        <w:t>one</w:t>
      </w:r>
      <w:r w:rsidR="00FB3D40">
        <w:t xml:space="preserve"> new standard</w:t>
      </w:r>
      <w:r>
        <w:t xml:space="preserve"> and </w:t>
      </w:r>
      <w:r w:rsidR="00BF0EEC">
        <w:t xml:space="preserve">is </w:t>
      </w:r>
      <w:r w:rsidR="00FB3D40">
        <w:t>awaiting the publication of several</w:t>
      </w:r>
      <w:r w:rsidR="00BF0EEC">
        <w:t xml:space="preserve"> more</w:t>
      </w:r>
      <w:r w:rsidR="00133E07">
        <w:t xml:space="preserve"> standard</w:t>
      </w:r>
      <w:r w:rsidR="00FB3D40">
        <w:t>s</w:t>
      </w:r>
      <w:r>
        <w:t xml:space="preserve"> which </w:t>
      </w:r>
      <w:r w:rsidR="00FB3D40">
        <w:t>are in the final stages of INCITS and/or ANSI processing</w:t>
      </w:r>
      <w:r>
        <w:t>. In addition, several hundred documents and presentations have been prepared supporting the technical and administrative activities of the committee in the period this report covers. Here are the details:</w:t>
      </w:r>
    </w:p>
    <w:p w:rsidR="007D0541" w:rsidRDefault="007D0541" w:rsidP="007D0541">
      <w:pPr>
        <w:pStyle w:val="BODY"/>
      </w:pPr>
      <w:r w:rsidRPr="00FD2BAC">
        <w:rPr>
          <w:b/>
        </w:rPr>
        <w:lastRenderedPageBreak/>
        <w:t>Extended capability of the core standards</w:t>
      </w:r>
      <w:r>
        <w:t xml:space="preserve">: The core standards of Fibre Channel continue to be refined, clarifying implementation requirements and adding new capabilities. </w:t>
      </w:r>
      <w:r w:rsidR="00FB3D40">
        <w:t xml:space="preserve">The </w:t>
      </w:r>
      <w:r w:rsidR="00F91023">
        <w:t xml:space="preserve">FC-GS-7 </w:t>
      </w:r>
      <w:r w:rsidR="00E070C1">
        <w:t xml:space="preserve">standard was published in 2017. </w:t>
      </w:r>
      <w:r w:rsidR="00F91023">
        <w:t>FC-LS-3</w:t>
      </w:r>
      <w:r w:rsidR="00E070C1">
        <w:t xml:space="preserve"> and FC-FS-5 </w:t>
      </w:r>
      <w:r w:rsidR="00FB3D40">
        <w:t xml:space="preserve">are </w:t>
      </w:r>
      <w:r w:rsidR="003F4B4F">
        <w:t>in the final stages of approval and publication</w:t>
      </w:r>
      <w:r w:rsidR="00E070C1">
        <w:t>.</w:t>
      </w:r>
      <w:r w:rsidR="00F62DA5">
        <w:t xml:space="preserve"> A new project FC-FS-6 and FC-LS-4 will </w:t>
      </w:r>
      <w:r w:rsidR="008941FB">
        <w:t>further enhance the base Fibre Channel architecture.</w:t>
      </w:r>
    </w:p>
    <w:p w:rsidR="007D0541" w:rsidRDefault="007D0541" w:rsidP="007D0541">
      <w:pPr>
        <w:pStyle w:val="BODY"/>
      </w:pPr>
      <w:r w:rsidRPr="00FD2BAC">
        <w:rPr>
          <w:b/>
        </w:rPr>
        <w:t>Physical layer</w:t>
      </w:r>
      <w:r>
        <w:t>: The physical layer technologies continue to improve in perfo</w:t>
      </w:r>
      <w:r w:rsidR="007C76C1">
        <w:t xml:space="preserve">rmance and cost-effectiveness. </w:t>
      </w:r>
      <w:r w:rsidR="003F4B4F">
        <w:t xml:space="preserve">FC-PI-7 </w:t>
      </w:r>
      <w:r w:rsidR="00467ECD">
        <w:t xml:space="preserve">is almost complete which </w:t>
      </w:r>
      <w:r>
        <w:t>double</w:t>
      </w:r>
      <w:r w:rsidR="00E070C1">
        <w:t>s</w:t>
      </w:r>
      <w:r>
        <w:t xml:space="preserve"> the data rate of </w:t>
      </w:r>
      <w:r w:rsidR="003F4B4F">
        <w:t>32GFC to 64</w:t>
      </w:r>
      <w:r w:rsidR="00E070C1">
        <w:t>GFC</w:t>
      </w:r>
      <w:r>
        <w:t>.</w:t>
      </w:r>
      <w:r w:rsidR="008941FB">
        <w:t>Work has started on</w:t>
      </w:r>
      <w:r>
        <w:t xml:space="preserve"> </w:t>
      </w:r>
      <w:r w:rsidR="000B4436">
        <w:t>FC-PI-7</w:t>
      </w:r>
      <w:r w:rsidR="00E070C1">
        <w:t>P</w:t>
      </w:r>
      <w:r w:rsidR="000B4436">
        <w:t xml:space="preserve"> </w:t>
      </w:r>
      <w:r w:rsidR="00467ECD">
        <w:t xml:space="preserve">which </w:t>
      </w:r>
      <w:r w:rsidR="000B4436">
        <w:t>define</w:t>
      </w:r>
      <w:r w:rsidR="00E070C1">
        <w:t>s</w:t>
      </w:r>
      <w:r w:rsidR="000B4436">
        <w:t xml:space="preserve"> the four</w:t>
      </w:r>
      <w:r w:rsidR="003F4B4F">
        <w:t xml:space="preserve"> lane variant of 64GFC to achieve the 256GFC speed.</w:t>
      </w:r>
      <w:r w:rsidR="00F62DA5">
        <w:t xml:space="preserve"> A new project FC-PI-8 </w:t>
      </w:r>
      <w:r w:rsidR="00467ECD">
        <w:t>is coming which will define 128</w:t>
      </w:r>
      <w:r w:rsidR="00F62DA5">
        <w:t>GFC serial.</w:t>
      </w:r>
    </w:p>
    <w:p w:rsidR="007D0541" w:rsidRDefault="007D0541" w:rsidP="007D0541">
      <w:pPr>
        <w:pStyle w:val="BODY"/>
      </w:pPr>
      <w:r w:rsidRPr="00FD2BAC">
        <w:rPr>
          <w:b/>
        </w:rPr>
        <w:t>Remote access and alternate link technology</w:t>
      </w:r>
      <w:r>
        <w:t xml:space="preserve">: </w:t>
      </w:r>
      <w:r w:rsidR="00F62DA5">
        <w:t>No new work is planned for alternative link technologies.</w:t>
      </w:r>
    </w:p>
    <w:p w:rsidR="005F70BA" w:rsidRDefault="005F70BA" w:rsidP="007D0541">
      <w:pPr>
        <w:pStyle w:val="BODY"/>
      </w:pPr>
      <w:r>
        <w:rPr>
          <w:b/>
        </w:rPr>
        <w:t>Security</w:t>
      </w:r>
      <w:r>
        <w:t xml:space="preserve">: While no current project is underway for Fibre Channel security, TC T11 understands the importance for considering security whenever new standards are </w:t>
      </w:r>
      <w:r w:rsidR="007D45A5">
        <w:t>defined</w:t>
      </w:r>
      <w:r>
        <w:t>.</w:t>
      </w:r>
    </w:p>
    <w:p w:rsidR="007D0541" w:rsidRDefault="007D0541" w:rsidP="007D0541">
      <w:pPr>
        <w:pStyle w:val="BODY"/>
      </w:pPr>
      <w:r w:rsidRPr="00FD2BAC">
        <w:rPr>
          <w:b/>
        </w:rPr>
        <w:t>FICON:</w:t>
      </w:r>
      <w:r>
        <w:t xml:space="preserve"> To support the large system FICON environment, the FC-S</w:t>
      </w:r>
      <w:r w:rsidR="000B4436">
        <w:t xml:space="preserve">B-6 project is </w:t>
      </w:r>
      <w:r w:rsidR="00A46C28">
        <w:t>at INCITS in the final stages of approval and publication</w:t>
      </w:r>
      <w:r w:rsidR="000B4436">
        <w:t>.</w:t>
      </w:r>
    </w:p>
    <w:p w:rsidR="007D0541" w:rsidRDefault="007D0541" w:rsidP="007D0541">
      <w:pPr>
        <w:pStyle w:val="BODY"/>
      </w:pPr>
      <w:r w:rsidRPr="00FD2BAC">
        <w:rPr>
          <w:b/>
        </w:rPr>
        <w:t>Energy Efficiency</w:t>
      </w:r>
      <w:r>
        <w:t xml:space="preserve">: The FC-EE project </w:t>
      </w:r>
      <w:r w:rsidR="000B4436">
        <w:t>has completed its technical work by providing</w:t>
      </w:r>
      <w:r>
        <w:t xml:space="preserve"> inputs into the core Fibre Channel standards</w:t>
      </w:r>
      <w:r w:rsidR="00081579">
        <w:t>: FC-FS-4, FC-SW-6, and FC-LS-3</w:t>
      </w:r>
      <w:r>
        <w:t>.</w:t>
      </w:r>
      <w:r w:rsidR="000B4436">
        <w:t xml:space="preserve"> Recently the FC-EE project transitioned from a standard to a technical report. The FC-EE TR </w:t>
      </w:r>
      <w:r w:rsidR="00F62DA5">
        <w:t>completed T11 letter ballot and will soon be on its way to publication</w:t>
      </w:r>
      <w:r w:rsidR="00081579">
        <w:t>.</w:t>
      </w:r>
    </w:p>
    <w:p w:rsidR="00081579" w:rsidRDefault="007D0541" w:rsidP="00081579">
      <w:pPr>
        <w:pStyle w:val="BODY"/>
      </w:pPr>
      <w:r w:rsidRPr="00FD2BAC">
        <w:rPr>
          <w:b/>
        </w:rPr>
        <w:t>HBA Management</w:t>
      </w:r>
      <w:r>
        <w:t>: No new work is planned for HBA management.</w:t>
      </w:r>
    </w:p>
    <w:p w:rsidR="00081579" w:rsidRDefault="004B2DDB" w:rsidP="007D0541">
      <w:pPr>
        <w:pStyle w:val="BODY"/>
      </w:pPr>
      <w:r>
        <w:rPr>
          <w:b/>
        </w:rPr>
        <w:t>NVMe</w:t>
      </w:r>
      <w:r w:rsidR="00081579">
        <w:rPr>
          <w:b/>
        </w:rPr>
        <w:t xml:space="preserve"> Support</w:t>
      </w:r>
      <w:r w:rsidR="00081579">
        <w:t xml:space="preserve">: </w:t>
      </w:r>
      <w:r w:rsidR="00BD05F3">
        <w:t xml:space="preserve">The FC-NVMe project </w:t>
      </w:r>
      <w:r w:rsidR="00F62DA5">
        <w:t>which describes the mapping of NVMe to Fibre Channel is completed and is nearing publication</w:t>
      </w:r>
      <w:r w:rsidR="00BD05F3">
        <w:t xml:space="preserve">. This work </w:t>
      </w:r>
      <w:r w:rsidR="00F62DA5">
        <w:t>was completed</w:t>
      </w:r>
      <w:r w:rsidR="00BD05F3">
        <w:t xml:space="preserve"> in concert with the Fibre Channel over Fabrics work being done in the NVM Express group.</w:t>
      </w:r>
      <w:r w:rsidR="00C72FEE">
        <w:t xml:space="preserve"> To assist in this effort an official MOU a</w:t>
      </w:r>
      <w:r w:rsidR="00F62DA5">
        <w:t xml:space="preserve">nd liaison has been </w:t>
      </w:r>
      <w:r w:rsidR="00C72FEE">
        <w:t xml:space="preserve">established between </w:t>
      </w:r>
      <w:r w:rsidR="004A5B2A">
        <w:t>ITI/INCITS</w:t>
      </w:r>
      <w:r w:rsidR="00C72FEE">
        <w:t xml:space="preserve"> and the NVM Express group.</w:t>
      </w:r>
      <w:r w:rsidR="001E5AD6">
        <w:t xml:space="preserve"> A new project </w:t>
      </w:r>
      <w:r w:rsidR="00F62DA5">
        <w:t xml:space="preserve">FC-NVMe-2 </w:t>
      </w:r>
      <w:r w:rsidR="00467ECD">
        <w:t xml:space="preserve">was formed </w:t>
      </w:r>
      <w:r w:rsidR="001E5AD6">
        <w:t xml:space="preserve">to enhance the </w:t>
      </w:r>
      <w:r w:rsidR="00F62DA5">
        <w:t xml:space="preserve">error recovery </w:t>
      </w:r>
      <w:r w:rsidR="001E5AD6">
        <w:t>functionality defined in FC-NVMe.</w:t>
      </w:r>
    </w:p>
    <w:p w:rsidR="001E5AD6" w:rsidRDefault="007D0541" w:rsidP="007D0541">
      <w:pPr>
        <w:pStyle w:val="BODY"/>
      </w:pPr>
      <w:r w:rsidRPr="00FD2BAC">
        <w:rPr>
          <w:b/>
        </w:rPr>
        <w:t>New Work</w:t>
      </w:r>
      <w:r>
        <w:t xml:space="preserve">: </w:t>
      </w:r>
      <w:r w:rsidR="00081579">
        <w:t>TC T11</w:t>
      </w:r>
      <w:r>
        <w:t xml:space="preserve"> is looking at new areas of Fibre Channel work in the protocol area. New work areas</w:t>
      </w:r>
      <w:r w:rsidR="00081579">
        <w:t xml:space="preserve"> include </w:t>
      </w:r>
      <w:r>
        <w:t>cloud, virtualization, and software defined storage (SDS</w:t>
      </w:r>
      <w:r w:rsidR="00082667">
        <w:t xml:space="preserve">). </w:t>
      </w:r>
    </w:p>
    <w:p w:rsidR="0062554F" w:rsidRDefault="0062554F" w:rsidP="007D0541">
      <w:pPr>
        <w:pStyle w:val="BODY"/>
      </w:pPr>
    </w:p>
    <w:p w:rsidR="0062554F" w:rsidRDefault="007D0541" w:rsidP="007D0541">
      <w:pPr>
        <w:pStyle w:val="BODY"/>
      </w:pPr>
      <w:r>
        <w:t>As a result of these activities, the total program of work of FC-TC during the period of this annual report is summarized as follows:</w:t>
      </w:r>
    </w:p>
    <w:tbl>
      <w:tblPr>
        <w:tblW w:w="8201" w:type="dxa"/>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81"/>
        <w:gridCol w:w="1330"/>
        <w:gridCol w:w="2611"/>
        <w:gridCol w:w="1679"/>
        <w:gridCol w:w="1200"/>
      </w:tblGrid>
      <w:tr w:rsidR="00216025" w:rsidRPr="00263E2A" w:rsidTr="005F161E">
        <w:trPr>
          <w:trHeight w:val="472"/>
          <w:tblHeader/>
          <w:tblCellSpacing w:w="7" w:type="dxa"/>
        </w:trPr>
        <w:tc>
          <w:tcPr>
            <w:tcW w:w="13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16025" w:rsidRPr="00263E2A" w:rsidRDefault="00216025" w:rsidP="005F161E">
            <w:pPr>
              <w:pStyle w:val="normal-web-"/>
              <w:jc w:val="center"/>
              <w:rPr>
                <w:sz w:val="20"/>
                <w:szCs w:val="20"/>
              </w:rPr>
            </w:pPr>
            <w:r w:rsidRPr="00263E2A">
              <w:rPr>
                <w:rFonts w:ascii="Helvetica" w:hAnsi="Helvetica" w:cs="Helvetica"/>
                <w:b/>
                <w:bCs/>
                <w:sz w:val="20"/>
                <w:szCs w:val="20"/>
              </w:rPr>
              <w:t>Family</w:t>
            </w:r>
          </w:p>
        </w:tc>
        <w:tc>
          <w:tcPr>
            <w:tcW w:w="120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16025" w:rsidRPr="00263E2A" w:rsidRDefault="00216025" w:rsidP="005F161E">
            <w:pPr>
              <w:pStyle w:val="body0"/>
              <w:jc w:val="center"/>
              <w:rPr>
                <w:sz w:val="20"/>
                <w:szCs w:val="20"/>
              </w:rPr>
            </w:pPr>
            <w:r w:rsidRPr="00263E2A">
              <w:rPr>
                <w:rFonts w:ascii="Helvetica" w:hAnsi="Helvetica" w:cs="Helvetica"/>
                <w:b/>
                <w:bCs/>
                <w:sz w:val="20"/>
                <w:szCs w:val="20"/>
              </w:rPr>
              <w:t>Projects in Development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16025" w:rsidRPr="00263E2A" w:rsidRDefault="00216025" w:rsidP="005F161E">
            <w:pPr>
              <w:pStyle w:val="body0"/>
              <w:jc w:val="center"/>
              <w:rPr>
                <w:sz w:val="20"/>
                <w:szCs w:val="20"/>
              </w:rPr>
            </w:pPr>
            <w:r w:rsidRPr="00263E2A">
              <w:rPr>
                <w:rFonts w:ascii="Helvetica" w:hAnsi="Helvetica" w:cs="Helvetica"/>
                <w:b/>
                <w:bCs/>
                <w:sz w:val="20"/>
                <w:szCs w:val="20"/>
              </w:rPr>
              <w:t>Projects in FC-TC or INCITS Approval</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16025" w:rsidRPr="00263E2A" w:rsidRDefault="00216025" w:rsidP="005F161E">
            <w:pPr>
              <w:pStyle w:val="body0"/>
              <w:jc w:val="center"/>
              <w:rPr>
                <w:sz w:val="20"/>
                <w:szCs w:val="20"/>
              </w:rPr>
            </w:pPr>
            <w:r w:rsidRPr="00263E2A">
              <w:rPr>
                <w:rFonts w:ascii="Helvetica" w:hAnsi="Helvetica" w:cs="Helvetica"/>
                <w:b/>
                <w:bCs/>
                <w:sz w:val="20"/>
                <w:szCs w:val="20"/>
              </w:rPr>
              <w:t>Published Standards</w:t>
            </w:r>
          </w:p>
        </w:tc>
        <w:tc>
          <w:tcPr>
            <w:tcW w:w="117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16025" w:rsidRPr="00263E2A" w:rsidRDefault="00216025" w:rsidP="005F161E">
            <w:pPr>
              <w:pStyle w:val="body0"/>
              <w:jc w:val="center"/>
              <w:rPr>
                <w:sz w:val="20"/>
                <w:szCs w:val="20"/>
              </w:rPr>
            </w:pPr>
            <w:r w:rsidRPr="00263E2A">
              <w:rPr>
                <w:rFonts w:ascii="Helvetica" w:hAnsi="Helvetica" w:cs="Helvetica"/>
                <w:b/>
                <w:bCs/>
                <w:sz w:val="20"/>
                <w:szCs w:val="20"/>
              </w:rPr>
              <w:t>Total</w:t>
            </w:r>
          </w:p>
        </w:tc>
      </w:tr>
      <w:tr w:rsidR="00216025" w:rsidRPr="00263E2A" w:rsidTr="005F161E">
        <w:trPr>
          <w:trHeight w:val="1020"/>
          <w:tblCellSpacing w:w="7" w:type="dxa"/>
        </w:trPr>
        <w:tc>
          <w:tcPr>
            <w:tcW w:w="136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16025" w:rsidRPr="00263E2A" w:rsidRDefault="00216025" w:rsidP="005F161E">
            <w:pPr>
              <w:jc w:val="center"/>
              <w:rPr>
                <w:sz w:val="20"/>
                <w:szCs w:val="20"/>
              </w:rPr>
            </w:pPr>
            <w:r w:rsidRPr="00263E2A">
              <w:rPr>
                <w:rFonts w:ascii="Helvetica" w:hAnsi="Helvetica" w:cs="Helvetica"/>
                <w:sz w:val="20"/>
                <w:szCs w:val="20"/>
              </w:rPr>
              <w:br/>
              <w:t>FC-TC</w:t>
            </w:r>
            <w:r w:rsidRPr="00263E2A">
              <w:rPr>
                <w:rFonts w:ascii="Helvetica" w:hAnsi="Helvetica" w:cs="Helvetica"/>
                <w:sz w:val="20"/>
                <w:szCs w:val="20"/>
              </w:rPr>
              <w:br/>
              <w:t>T11</w:t>
            </w:r>
          </w:p>
        </w:tc>
        <w:tc>
          <w:tcPr>
            <w:tcW w:w="1208"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16025" w:rsidRPr="00263E2A" w:rsidRDefault="000942F5" w:rsidP="005F161E">
            <w:pPr>
              <w:jc w:val="center"/>
              <w:rPr>
                <w:sz w:val="20"/>
                <w:szCs w:val="20"/>
              </w:rPr>
            </w:pPr>
            <w:r>
              <w:rPr>
                <w:rFonts w:ascii="Helvetica" w:hAnsi="Helvetica" w:cs="Helvetica"/>
                <w:sz w:val="20"/>
                <w:szCs w:val="20"/>
              </w:rPr>
              <w:t>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16025" w:rsidRPr="00263E2A" w:rsidRDefault="00216025" w:rsidP="00216025">
            <w:pPr>
              <w:jc w:val="center"/>
              <w:rPr>
                <w:sz w:val="20"/>
                <w:szCs w:val="20"/>
              </w:rPr>
            </w:pPr>
            <w:r w:rsidRPr="00263E2A">
              <w:rPr>
                <w:rFonts w:ascii="Helvetica" w:hAnsi="Helvetica" w:cs="Helvetica"/>
                <w:sz w:val="20"/>
                <w:szCs w:val="20"/>
              </w:rPr>
              <w:t> </w:t>
            </w:r>
            <w:r w:rsidR="000942F5">
              <w:rPr>
                <w:rFonts w:ascii="Helvetica" w:hAnsi="Helvetica" w:cs="Helvetica"/>
                <w:sz w:val="20"/>
                <w:szCs w:val="20"/>
              </w:rPr>
              <w:t>1</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16025" w:rsidRPr="00263E2A" w:rsidRDefault="00716DA8" w:rsidP="005F161E">
            <w:pPr>
              <w:pStyle w:val="body0"/>
              <w:jc w:val="center"/>
              <w:rPr>
                <w:sz w:val="20"/>
                <w:szCs w:val="20"/>
              </w:rPr>
            </w:pPr>
            <w:r>
              <w:rPr>
                <w:rFonts w:ascii="Helvetica" w:hAnsi="Helvetica" w:cs="Helvetica"/>
                <w:sz w:val="20"/>
                <w:szCs w:val="20"/>
              </w:rPr>
              <w:t>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16025" w:rsidRPr="00263E2A" w:rsidRDefault="00716DA8" w:rsidP="005F161E">
            <w:pPr>
              <w:jc w:val="center"/>
              <w:rPr>
                <w:sz w:val="20"/>
                <w:szCs w:val="20"/>
              </w:rPr>
            </w:pPr>
            <w:r>
              <w:rPr>
                <w:rFonts w:ascii="Helvetica" w:hAnsi="Helvetica" w:cs="Helvetica"/>
                <w:sz w:val="20"/>
                <w:szCs w:val="20"/>
              </w:rPr>
              <w:t>1</w:t>
            </w:r>
          </w:p>
        </w:tc>
      </w:tr>
      <w:tr w:rsidR="00216025" w:rsidRPr="00263E2A" w:rsidTr="005F161E">
        <w:trPr>
          <w:trHeight w:val="487"/>
          <w:tblCellSpacing w:w="7" w:type="dxa"/>
        </w:trPr>
        <w:tc>
          <w:tcPr>
            <w:tcW w:w="13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16025" w:rsidRPr="00263E2A" w:rsidRDefault="00216025" w:rsidP="005F161E">
            <w:pPr>
              <w:pStyle w:val="normal-web-"/>
              <w:jc w:val="center"/>
              <w:rPr>
                <w:sz w:val="20"/>
                <w:szCs w:val="20"/>
              </w:rPr>
            </w:pPr>
            <w:r w:rsidRPr="00263E2A">
              <w:rPr>
                <w:rFonts w:ascii="Helvetica" w:hAnsi="Helvetica" w:cs="Helvetica"/>
                <w:sz w:val="20"/>
                <w:szCs w:val="20"/>
              </w:rPr>
              <w:t>FC Physical</w:t>
            </w:r>
            <w:r w:rsidRPr="00263E2A">
              <w:rPr>
                <w:rFonts w:ascii="Helvetica" w:hAnsi="Helvetica" w:cs="Helvetica"/>
                <w:sz w:val="20"/>
                <w:szCs w:val="20"/>
              </w:rPr>
              <w:br/>
              <w:t>T11.2</w:t>
            </w:r>
          </w:p>
        </w:tc>
        <w:tc>
          <w:tcPr>
            <w:tcW w:w="120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16025" w:rsidRPr="00263E2A" w:rsidRDefault="000942F5" w:rsidP="005F161E">
            <w:pPr>
              <w:pStyle w:val="body0"/>
              <w:jc w:val="center"/>
              <w:rPr>
                <w:sz w:val="20"/>
                <w:szCs w:val="20"/>
              </w:rPr>
            </w:pPr>
            <w:r>
              <w:rPr>
                <w:rFonts w:ascii="Helvetica" w:hAnsi="Helvetica" w:cs="Helvetica"/>
                <w:sz w:val="20"/>
                <w:szCs w:val="20"/>
              </w:rPr>
              <w:t>3</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16025" w:rsidRPr="00263E2A" w:rsidRDefault="002E70C8" w:rsidP="005F161E">
            <w:pPr>
              <w:pStyle w:val="body0"/>
              <w:jc w:val="center"/>
              <w:rPr>
                <w:sz w:val="20"/>
                <w:szCs w:val="20"/>
              </w:rPr>
            </w:pPr>
            <w:r>
              <w:rPr>
                <w:rFonts w:ascii="Helvetica" w:hAnsi="Helvetica" w:cs="Helvetica"/>
                <w:sz w:val="20"/>
                <w:szCs w:val="20"/>
              </w:rPr>
              <w:t>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16025" w:rsidRPr="00263E2A" w:rsidRDefault="000942F5" w:rsidP="005F161E">
            <w:pPr>
              <w:pStyle w:val="body0"/>
              <w:jc w:val="center"/>
              <w:rPr>
                <w:sz w:val="20"/>
                <w:szCs w:val="20"/>
              </w:rPr>
            </w:pPr>
            <w:r>
              <w:rPr>
                <w:sz w:val="20"/>
                <w:szCs w:val="20"/>
              </w:rPr>
              <w:t>0</w:t>
            </w:r>
          </w:p>
        </w:tc>
        <w:tc>
          <w:tcPr>
            <w:tcW w:w="117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16025" w:rsidRPr="00263E2A" w:rsidRDefault="002E70C8" w:rsidP="005F161E">
            <w:pPr>
              <w:pStyle w:val="body0"/>
              <w:jc w:val="center"/>
              <w:rPr>
                <w:sz w:val="20"/>
                <w:szCs w:val="20"/>
              </w:rPr>
            </w:pPr>
            <w:r>
              <w:rPr>
                <w:rFonts w:ascii="Helvetica" w:hAnsi="Helvetica" w:cs="Helvetica"/>
                <w:sz w:val="20"/>
                <w:szCs w:val="20"/>
              </w:rPr>
              <w:t>3</w:t>
            </w:r>
          </w:p>
        </w:tc>
      </w:tr>
      <w:tr w:rsidR="00216025" w:rsidRPr="00263E2A" w:rsidTr="005F161E">
        <w:trPr>
          <w:trHeight w:val="472"/>
          <w:tblCellSpacing w:w="7" w:type="dxa"/>
        </w:trPr>
        <w:tc>
          <w:tcPr>
            <w:tcW w:w="13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16025" w:rsidRPr="00263E2A" w:rsidRDefault="00216025" w:rsidP="005F161E">
            <w:pPr>
              <w:pStyle w:val="normal-web-"/>
              <w:jc w:val="center"/>
              <w:rPr>
                <w:sz w:val="20"/>
                <w:szCs w:val="20"/>
              </w:rPr>
            </w:pPr>
            <w:r w:rsidRPr="00263E2A">
              <w:rPr>
                <w:rFonts w:ascii="Helvetica" w:hAnsi="Helvetica" w:cs="Helvetica"/>
                <w:sz w:val="20"/>
                <w:szCs w:val="20"/>
              </w:rPr>
              <w:t>FC Protocol</w:t>
            </w:r>
            <w:r w:rsidRPr="00263E2A">
              <w:rPr>
                <w:rFonts w:ascii="Helvetica" w:hAnsi="Helvetica" w:cs="Helvetica"/>
                <w:sz w:val="20"/>
                <w:szCs w:val="20"/>
              </w:rPr>
              <w:br/>
              <w:t>T11.3</w:t>
            </w:r>
          </w:p>
        </w:tc>
        <w:tc>
          <w:tcPr>
            <w:tcW w:w="120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16025" w:rsidRPr="00263E2A" w:rsidRDefault="009E7424" w:rsidP="005F161E">
            <w:pPr>
              <w:pStyle w:val="body0"/>
              <w:jc w:val="center"/>
              <w:rPr>
                <w:sz w:val="20"/>
                <w:szCs w:val="20"/>
              </w:rPr>
            </w:pPr>
            <w:r>
              <w:rPr>
                <w:rFonts w:ascii="Helvetica" w:hAnsi="Helvetica" w:cs="Helvetica"/>
                <w:sz w:val="20"/>
                <w:szCs w:val="20"/>
              </w:rPr>
              <w:t>5</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16025" w:rsidRPr="00263E2A" w:rsidRDefault="004A1492" w:rsidP="005F161E">
            <w:pPr>
              <w:pStyle w:val="body0"/>
              <w:jc w:val="center"/>
              <w:rPr>
                <w:sz w:val="20"/>
                <w:szCs w:val="20"/>
              </w:rPr>
            </w:pPr>
            <w:r>
              <w:rPr>
                <w:rFonts w:ascii="Helvetica" w:hAnsi="Helvetica" w:cs="Helvetica"/>
                <w:sz w:val="20"/>
                <w:szCs w:val="20"/>
              </w:rPr>
              <w:t>3</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16025" w:rsidRPr="00263E2A" w:rsidRDefault="002E70C8" w:rsidP="005F161E">
            <w:pPr>
              <w:pStyle w:val="body0"/>
              <w:jc w:val="center"/>
              <w:rPr>
                <w:sz w:val="20"/>
                <w:szCs w:val="20"/>
              </w:rPr>
            </w:pPr>
            <w:r>
              <w:rPr>
                <w:rFonts w:ascii="Helvetica" w:hAnsi="Helvetica" w:cs="Helvetica"/>
                <w:sz w:val="20"/>
                <w:szCs w:val="20"/>
              </w:rPr>
              <w:t>1</w:t>
            </w:r>
          </w:p>
        </w:tc>
        <w:tc>
          <w:tcPr>
            <w:tcW w:w="117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16025" w:rsidRPr="00263E2A" w:rsidRDefault="002E70C8" w:rsidP="005F161E">
            <w:pPr>
              <w:pStyle w:val="body0"/>
              <w:jc w:val="center"/>
              <w:rPr>
                <w:sz w:val="20"/>
                <w:szCs w:val="20"/>
              </w:rPr>
            </w:pPr>
            <w:r>
              <w:rPr>
                <w:rFonts w:ascii="Helvetica" w:hAnsi="Helvetica" w:cs="Helvetica"/>
                <w:sz w:val="20"/>
                <w:szCs w:val="20"/>
              </w:rPr>
              <w:t>9</w:t>
            </w:r>
          </w:p>
        </w:tc>
      </w:tr>
      <w:tr w:rsidR="00216025" w:rsidRPr="00263E2A" w:rsidTr="005F161E">
        <w:trPr>
          <w:trHeight w:val="259"/>
          <w:tblCellSpacing w:w="7" w:type="dxa"/>
        </w:trPr>
        <w:tc>
          <w:tcPr>
            <w:tcW w:w="13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16025" w:rsidRPr="00263E2A" w:rsidRDefault="00216025" w:rsidP="005F161E">
            <w:pPr>
              <w:pStyle w:val="normal-web-"/>
              <w:jc w:val="center"/>
              <w:rPr>
                <w:sz w:val="20"/>
                <w:szCs w:val="20"/>
              </w:rPr>
            </w:pPr>
            <w:r w:rsidRPr="00263E2A">
              <w:rPr>
                <w:rFonts w:ascii="Helvetica" w:hAnsi="Helvetica" w:cs="Helvetica"/>
                <w:sz w:val="20"/>
                <w:szCs w:val="20"/>
              </w:rPr>
              <w:t>TOTAL</w:t>
            </w:r>
          </w:p>
        </w:tc>
        <w:tc>
          <w:tcPr>
            <w:tcW w:w="120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16025" w:rsidRPr="00263E2A" w:rsidRDefault="009E7424" w:rsidP="005F161E">
            <w:pPr>
              <w:pStyle w:val="body0"/>
              <w:jc w:val="center"/>
              <w:rPr>
                <w:sz w:val="20"/>
                <w:szCs w:val="20"/>
              </w:rPr>
            </w:pPr>
            <w:r>
              <w:rPr>
                <w:rFonts w:ascii="Helvetica" w:hAnsi="Helvetica" w:cs="Helvetica"/>
                <w:sz w:val="20"/>
                <w:szCs w:val="20"/>
              </w:rPr>
              <w:t>8</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16025" w:rsidRPr="00263E2A" w:rsidRDefault="002E70C8" w:rsidP="005F161E">
            <w:pPr>
              <w:pStyle w:val="body0"/>
              <w:jc w:val="center"/>
              <w:rPr>
                <w:sz w:val="20"/>
                <w:szCs w:val="20"/>
              </w:rPr>
            </w:pPr>
            <w:r>
              <w:rPr>
                <w:rFonts w:ascii="Helvetica" w:hAnsi="Helvetica" w:cs="Helvetica"/>
                <w:sz w:val="20"/>
                <w:szCs w:val="20"/>
              </w:rPr>
              <w:t>4</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16025" w:rsidRPr="00263E2A" w:rsidRDefault="002E70C8" w:rsidP="005F161E">
            <w:pPr>
              <w:pStyle w:val="body0"/>
              <w:jc w:val="center"/>
              <w:rPr>
                <w:sz w:val="20"/>
                <w:szCs w:val="20"/>
              </w:rPr>
            </w:pPr>
            <w:r>
              <w:rPr>
                <w:rFonts w:ascii="Helvetica" w:hAnsi="Helvetica" w:cs="Helvetica"/>
                <w:sz w:val="20"/>
                <w:szCs w:val="20"/>
              </w:rPr>
              <w:t>1</w:t>
            </w:r>
          </w:p>
        </w:tc>
        <w:tc>
          <w:tcPr>
            <w:tcW w:w="1179" w:type="dxa"/>
            <w:tcBorders>
              <w:top w:val="outset" w:sz="6" w:space="0" w:color="auto"/>
              <w:left w:val="outset" w:sz="6" w:space="0" w:color="auto"/>
              <w:bottom w:val="outset" w:sz="6" w:space="0" w:color="auto"/>
              <w:right w:val="outset" w:sz="6" w:space="0" w:color="auto"/>
            </w:tcBorders>
            <w:shd w:val="clear" w:color="auto" w:fill="FFFF66"/>
            <w:tcMar>
              <w:top w:w="15" w:type="dxa"/>
              <w:left w:w="15" w:type="dxa"/>
              <w:bottom w:w="15" w:type="dxa"/>
              <w:right w:w="15" w:type="dxa"/>
            </w:tcMar>
            <w:vAlign w:val="center"/>
            <w:hideMark/>
          </w:tcPr>
          <w:p w:rsidR="00216025" w:rsidRPr="00263E2A" w:rsidRDefault="002E70C8" w:rsidP="005F161E">
            <w:pPr>
              <w:pStyle w:val="body0"/>
              <w:jc w:val="center"/>
              <w:rPr>
                <w:sz w:val="20"/>
                <w:szCs w:val="20"/>
              </w:rPr>
            </w:pPr>
            <w:r>
              <w:rPr>
                <w:rFonts w:ascii="Helvetica" w:hAnsi="Helvetica" w:cs="Helvetica"/>
                <w:sz w:val="20"/>
                <w:szCs w:val="20"/>
              </w:rPr>
              <w:t>13</w:t>
            </w:r>
          </w:p>
        </w:tc>
      </w:tr>
    </w:tbl>
    <w:p w:rsidR="00216025" w:rsidRDefault="00216025" w:rsidP="007D0541">
      <w:pPr>
        <w:pStyle w:val="BODY"/>
      </w:pPr>
    </w:p>
    <w:p w:rsidR="008F3A10" w:rsidRPr="00E64DD3" w:rsidRDefault="008F3A10" w:rsidP="00331189">
      <w:pPr>
        <w:pStyle w:val="BODY"/>
      </w:pPr>
      <w:r w:rsidRPr="00E64DD3">
        <w:t>.</w:t>
      </w:r>
    </w:p>
    <w:p w:rsidR="008F3A10" w:rsidRPr="006F5379" w:rsidRDefault="008F3A10" w:rsidP="00331189">
      <w:pPr>
        <w:pStyle w:val="Heading4"/>
        <w:numPr>
          <w:ilvl w:val="0"/>
          <w:numId w:val="5"/>
        </w:numPr>
        <w:rPr>
          <w:rFonts w:eastAsia="Times New Roman"/>
        </w:rPr>
      </w:pPr>
      <w:r w:rsidRPr="006F5379">
        <w:rPr>
          <w:rFonts w:eastAsia="Times New Roman"/>
        </w:rPr>
        <w:t>Challenges</w:t>
      </w:r>
    </w:p>
    <w:p w:rsidR="008F3A10" w:rsidRDefault="002F669E" w:rsidP="002F669E">
      <w:pPr>
        <w:pStyle w:val="BODY"/>
      </w:pPr>
      <w:r>
        <w:t>The most significant challenges are the consolidation of the FC industry and the maturing nature of the FC technologies. In addition, many companies have restricted their travel to industry functions in order to improve themselves economically. The consoli</w:t>
      </w:r>
      <w:r w:rsidR="00F04357">
        <w:t xml:space="preserve">dation of the FC industry has </w:t>
      </w:r>
      <w:r>
        <w:t>result</w:t>
      </w:r>
      <w:r w:rsidR="00F04357">
        <w:t>ed</w:t>
      </w:r>
      <w:r>
        <w:t xml:space="preserve"> in fewer member companies participating in T11. T11’s goal is to spawn new FC work items that will hopefully add new member companies and offset the impact of consolidation. The maturing nature of the FC technologies is requiring that T11 examine new areas of work that include SSDs, cloud, and software defined storage. T11 is working with existing member companies and potential new companies to ensure physical participation in the T11 activities.  </w:t>
      </w:r>
    </w:p>
    <w:p w:rsidR="002F669E" w:rsidRPr="00665976" w:rsidRDefault="002F669E" w:rsidP="002F669E">
      <w:pPr>
        <w:pStyle w:val="BODY"/>
      </w:pPr>
      <w:r>
        <w:t>The T11 committee has successfully transitioned back to meeting hosting by individual companies rather than the FCIA. Also the T11 committee has transitioned to a 3 day plenary meeting week to minimize travel and hosting costs.</w:t>
      </w:r>
    </w:p>
    <w:p w:rsidR="008F3A10" w:rsidRPr="00331189" w:rsidRDefault="008F3A10" w:rsidP="00331189">
      <w:pPr>
        <w:pStyle w:val="Heading4"/>
        <w:numPr>
          <w:ilvl w:val="0"/>
          <w:numId w:val="5"/>
        </w:numPr>
      </w:pPr>
      <w:r w:rsidRPr="00331189">
        <w:lastRenderedPageBreak/>
        <w:t>Liaison Activities</w:t>
      </w:r>
    </w:p>
    <w:p w:rsidR="00F33065" w:rsidRDefault="00F33065" w:rsidP="00F33065">
      <w:pPr>
        <w:pStyle w:val="BODY"/>
      </w:pPr>
      <w:r>
        <w:t>FC-TC and its task groups maintain formal or informal liaison with the following organizations. Most liaison representatives are member organizations with representatives in both INCITS FC-TC and the liaison organization. Liaison relationships vary during the life of relevant projects and are strongest during the devel</w:t>
      </w:r>
      <w:r w:rsidR="00574814">
        <w:t>opment and FC-TC review periods</w:t>
      </w:r>
      <w:r w:rsidR="008236A9">
        <w:t>.</w:t>
      </w:r>
    </w:p>
    <w:p w:rsidR="00F33065" w:rsidRDefault="00F33065" w:rsidP="00F33065">
      <w:pPr>
        <w:pStyle w:val="BODY"/>
      </w:pPr>
      <w:r w:rsidRPr="00F33065">
        <w:rPr>
          <w:b/>
        </w:rPr>
        <w:t>INCITS T10</w:t>
      </w:r>
      <w:r>
        <w:t>: Liaison is maintained with INCITS TC T10 (Technical Committee on SCSI Interfaces). The SCSI command set and protocols are carried across the majority of Fibre Channel connections. The breadth of the work requires multiple liaison representatives. For more information about T</w:t>
      </w:r>
      <w:r w:rsidR="005D1CC5">
        <w:t>10 see www.t10.org/</w:t>
      </w:r>
      <w:r>
        <w:t>.</w:t>
      </w:r>
    </w:p>
    <w:p w:rsidR="00F33065" w:rsidRDefault="00F33065" w:rsidP="00F33065">
      <w:pPr>
        <w:pStyle w:val="BODY"/>
      </w:pPr>
      <w:r w:rsidRPr="00F33065">
        <w:rPr>
          <w:b/>
        </w:rPr>
        <w:t>FCIA</w:t>
      </w:r>
      <w:r>
        <w:t xml:space="preserve">: Liaison is maintained with the FCIA, the Fibre Channel Industry Association. The FCIA is a trade and technical organization </w:t>
      </w:r>
      <w:r w:rsidR="00467ECD">
        <w:t xml:space="preserve">whose members are </w:t>
      </w:r>
      <w:r>
        <w:t>most of the manufacturers of products compliant with FC-TC standards. For FC-TC, one of the most important activities is its Fibre Channel Technology Road Map. The road map provides up-to-date guidance about user requirements for the technologies being standardized by FC-TC. For more information about</w:t>
      </w:r>
      <w:r w:rsidR="005D1CC5">
        <w:t xml:space="preserve"> FCIA, see www.fibrechannel.org/</w:t>
      </w:r>
      <w:r>
        <w:t>.</w:t>
      </w:r>
    </w:p>
    <w:p w:rsidR="00F33065" w:rsidRDefault="00F33065" w:rsidP="00F33065">
      <w:pPr>
        <w:pStyle w:val="BODY"/>
      </w:pPr>
      <w:r w:rsidRPr="00F33065">
        <w:rPr>
          <w:b/>
        </w:rPr>
        <w:t>SNIA</w:t>
      </w:r>
      <w:r>
        <w:t>: Liaison is maintained with SNIA, the Storage Networking Industry Association. SNIA is a trade and technical organization that addresses the use of Fibre Channel and other technologies for the creation of large storage area networks (SANs). SNIA's technical committees provide many inputs into the FC-TC activities, especially with respect to SAN management functions and the security of SANs. For more informati</w:t>
      </w:r>
      <w:r w:rsidR="005D1CC5">
        <w:t>on about SNIA, see www.snia.org/</w:t>
      </w:r>
      <w:r>
        <w:t>.</w:t>
      </w:r>
    </w:p>
    <w:p w:rsidR="00F33065" w:rsidRDefault="00F33065" w:rsidP="00F33065">
      <w:pPr>
        <w:pStyle w:val="BODY"/>
      </w:pPr>
      <w:r w:rsidRPr="00F33065">
        <w:rPr>
          <w:b/>
        </w:rPr>
        <w:t>IEEE 802.3</w:t>
      </w:r>
      <w:r>
        <w:t>: Liaison is maintained with IEEE 802.3. Relevant projects include the definitions of the new Ethernet speeds and interfaces</w:t>
      </w:r>
      <w:r w:rsidR="008A7E8F">
        <w:t xml:space="preserve"> which impact Fibre Channel</w:t>
      </w:r>
      <w:r>
        <w:t>. See www.ieee802.org/3/.</w:t>
      </w:r>
    </w:p>
    <w:p w:rsidR="00F33065" w:rsidRDefault="00F33065" w:rsidP="00F33065">
      <w:pPr>
        <w:pStyle w:val="BODY"/>
      </w:pPr>
      <w:r w:rsidRPr="00F33065">
        <w:rPr>
          <w:b/>
        </w:rPr>
        <w:t>DMTF</w:t>
      </w:r>
      <w:r>
        <w:t>: Liaison is maintained with the DMTF (Distributed Management Task Force), an organization that develops management standards for computer systems and networks based on CIM (Common Information Model). FC-TC is involved with providing the necessary input to DMTF to properly represent and manage storage area networks. For more information about DMTF, see www.dmtf.org/.</w:t>
      </w:r>
    </w:p>
    <w:p w:rsidR="00F33065" w:rsidRDefault="00F33065" w:rsidP="00F33065">
      <w:pPr>
        <w:pStyle w:val="BODY"/>
      </w:pPr>
      <w:r w:rsidRPr="00F33065">
        <w:rPr>
          <w:b/>
        </w:rPr>
        <w:t>INCITS CS1</w:t>
      </w:r>
      <w:r>
        <w:t xml:space="preserve">: Liaison is maintained with </w:t>
      </w:r>
      <w:r w:rsidR="00C35286">
        <w:t xml:space="preserve">the </w:t>
      </w:r>
      <w:r>
        <w:t>INCITS CS1</w:t>
      </w:r>
      <w:r w:rsidR="00C35286">
        <w:t xml:space="preserve"> security TC</w:t>
      </w:r>
      <w:r>
        <w:t>. For more information about CS1 see cs1.incits.org</w:t>
      </w:r>
      <w:r w:rsidR="005D1CC5">
        <w:t>/.</w:t>
      </w:r>
    </w:p>
    <w:p w:rsidR="00E07152" w:rsidRDefault="00E07152" w:rsidP="00E07152">
      <w:pPr>
        <w:pStyle w:val="BODY"/>
      </w:pPr>
      <w:r>
        <w:rPr>
          <w:b/>
        </w:rPr>
        <w:t>NVM Express</w:t>
      </w:r>
      <w:r>
        <w:t>: Liaison is maintained with the NVM Express group to assist in the development of the NVMe over Fabrics specification and the FC-NVMe standard</w:t>
      </w:r>
      <w:r w:rsidR="008A7E8F">
        <w:t>s</w:t>
      </w:r>
      <w:r>
        <w:t xml:space="preserve">. </w:t>
      </w:r>
      <w:r w:rsidR="00A82B5A">
        <w:t xml:space="preserve">An official MOU exists between ITI/INCITS and NVM Express. </w:t>
      </w:r>
      <w:r>
        <w:t xml:space="preserve">For more information about </w:t>
      </w:r>
      <w:r w:rsidR="00D7399D">
        <w:t>NVMe</w:t>
      </w:r>
      <w:r>
        <w:t xml:space="preserve"> see </w:t>
      </w:r>
      <w:r w:rsidR="00D7399D">
        <w:t>www.nvmexpress.org</w:t>
      </w:r>
      <w:r w:rsidR="005D1CC5">
        <w:t>/</w:t>
      </w:r>
      <w:r w:rsidR="00D7399D">
        <w:t>.</w:t>
      </w:r>
    </w:p>
    <w:p w:rsidR="00E07152" w:rsidRDefault="002A61CE" w:rsidP="00F33065">
      <w:pPr>
        <w:pStyle w:val="BODY"/>
      </w:pPr>
      <w:r>
        <w:rPr>
          <w:b/>
        </w:rPr>
        <w:t>COBO</w:t>
      </w:r>
      <w:r>
        <w:t xml:space="preserve">: Liaison is maintained with COBO </w:t>
      </w:r>
      <w:r w:rsidR="00044FEE">
        <w:t>(</w:t>
      </w:r>
      <w:r w:rsidR="00044FEE" w:rsidRPr="00044FEE">
        <w:t>Consortium for On-Board Optics Standards Development Group</w:t>
      </w:r>
      <w:r w:rsidR="00044FEE">
        <w:t>)</w:t>
      </w:r>
      <w:r>
        <w:t>.</w:t>
      </w:r>
      <w:r w:rsidR="002C0D6A">
        <w:t xml:space="preserve"> For more information on COBO see </w:t>
      </w:r>
      <w:r w:rsidR="002C0D6A" w:rsidRPr="002C0D6A">
        <w:t>cobo.azurewebsites.net/</w:t>
      </w:r>
      <w:r w:rsidR="002C0D6A">
        <w:t>.</w:t>
      </w:r>
    </w:p>
    <w:p w:rsidR="00F33065" w:rsidRDefault="00F33065" w:rsidP="00F33065">
      <w:pPr>
        <w:pStyle w:val="BODY"/>
      </w:pPr>
      <w:r w:rsidRPr="00F33065">
        <w:rPr>
          <w:b/>
        </w:rPr>
        <w:t>OIF</w:t>
      </w:r>
      <w:r>
        <w:t>: Liaison is maintained with the OIF (Optical Internetworking Forum). For more information on OIF see http://www.oiforum.com/</w:t>
      </w:r>
    </w:p>
    <w:p w:rsidR="008F3A10" w:rsidRPr="00331189" w:rsidRDefault="00F33065" w:rsidP="00F33065">
      <w:pPr>
        <w:pStyle w:val="BODY"/>
      </w:pPr>
      <w:r w:rsidRPr="00F33065">
        <w:rPr>
          <w:b/>
        </w:rPr>
        <w:t>SFF Committee</w:t>
      </w:r>
      <w:r>
        <w:t xml:space="preserve">: Liaison is maintained with the SFF Committee, formerly named the "Small Form Factor" committee, but now known by its letters. The SFF is an industry organization that documents industry standards in areas typically avoided by accredited standards organizations. Such areas include optical transceiver modules used by Fibre Channel, mechanical standards for Fibre Channel and SCSI storage devices, and connectors for Fibre Channel. </w:t>
      </w:r>
      <w:r w:rsidR="002C0D6A">
        <w:t xml:space="preserve">SFF is now a SNIA Technology Affiliate. </w:t>
      </w:r>
      <w:r>
        <w:t xml:space="preserve">For more information about SFF, see </w:t>
      </w:r>
      <w:hyperlink r:id="rId8" w:history="1">
        <w:r w:rsidR="002C0D6A">
          <w:rPr>
            <w:rStyle w:val="Hyperlink"/>
          </w:rPr>
          <w:t>https://ta.snia.org</w:t>
        </w:r>
      </w:hyperlink>
      <w:r>
        <w:t>/.</w:t>
      </w:r>
    </w:p>
    <w:p w:rsidR="008F3A10" w:rsidRPr="006F5379" w:rsidRDefault="008F3A10" w:rsidP="00331189">
      <w:pPr>
        <w:pStyle w:val="Heading4"/>
        <w:numPr>
          <w:ilvl w:val="0"/>
          <w:numId w:val="5"/>
        </w:numPr>
        <w:rPr>
          <w:rFonts w:eastAsia="Times New Roman"/>
        </w:rPr>
      </w:pPr>
      <w:r w:rsidRPr="006F5379">
        <w:rPr>
          <w:rFonts w:eastAsia="Times New Roman"/>
        </w:rPr>
        <w:t>Memb</w:t>
      </w:r>
      <w:r w:rsidRPr="00331189">
        <w:rPr>
          <w:rStyle w:val="Heading4Char"/>
        </w:rPr>
        <w:t>e</w:t>
      </w:r>
      <w:r w:rsidRPr="006F5379">
        <w:rPr>
          <w:rFonts w:eastAsia="Times New Roman"/>
        </w:rPr>
        <w:t>rship and Officers</w:t>
      </w:r>
    </w:p>
    <w:p w:rsidR="008F3A10" w:rsidRPr="00E64DD3" w:rsidRDefault="00EC52BA" w:rsidP="00331189">
      <w:pPr>
        <w:pStyle w:val="BODY"/>
      </w:pPr>
      <w:r w:rsidRPr="00263E2A">
        <w:t xml:space="preserve">FC-TC work continues to be recognized and supported by the industry. FC-TC has </w:t>
      </w:r>
      <w:r w:rsidR="00A309A9">
        <w:t>2</w:t>
      </w:r>
      <w:r w:rsidR="008A7E8F">
        <w:t>1</w:t>
      </w:r>
      <w:r w:rsidR="00BB1975">
        <w:t xml:space="preserve"> voting members and 13</w:t>
      </w:r>
      <w:r w:rsidRPr="00263E2A">
        <w:t xml:space="preserve"> advisory me</w:t>
      </w:r>
      <w:r w:rsidR="00A309A9">
        <w:t xml:space="preserve">mber organizations in </w:t>
      </w:r>
      <w:r w:rsidR="008A7E8F">
        <w:t>February 2018</w:t>
      </w:r>
      <w:r>
        <w:t xml:space="preserve">, compared with </w:t>
      </w:r>
      <w:r w:rsidR="008A7E8F">
        <w:t>24</w:t>
      </w:r>
      <w:r w:rsidRPr="00263E2A">
        <w:t xml:space="preserve"> voting a</w:t>
      </w:r>
      <w:r w:rsidR="00CC05FF">
        <w:t xml:space="preserve">nd </w:t>
      </w:r>
      <w:r w:rsidR="008A7E8F">
        <w:t>12</w:t>
      </w:r>
      <w:r w:rsidRPr="00263E2A">
        <w:t xml:space="preserve"> advisory membe</w:t>
      </w:r>
      <w:r w:rsidR="008A7E8F">
        <w:t>r organizations in March of 2017</w:t>
      </w:r>
      <w:r w:rsidR="009E2A4D">
        <w:t xml:space="preserve">. </w:t>
      </w:r>
      <w:r w:rsidR="00C74214">
        <w:t xml:space="preserve">It is expected </w:t>
      </w:r>
      <w:r w:rsidR="005A5C17">
        <w:t>that the voting membership will remain roughly the same throughout 2017</w:t>
      </w:r>
      <w:r w:rsidR="00CC05FF">
        <w:t>.</w:t>
      </w:r>
      <w:r w:rsidRPr="00263E2A">
        <w:t xml:space="preserve"> The</w:t>
      </w:r>
      <w:r w:rsidR="005D1CC5">
        <w:t xml:space="preserve">re are </w:t>
      </w:r>
      <w:r w:rsidR="00C74214">
        <w:t xml:space="preserve">now </w:t>
      </w:r>
      <w:r w:rsidR="008A7E8F">
        <w:t>8</w:t>
      </w:r>
      <w:r w:rsidR="005D1CC5">
        <w:t xml:space="preserve"> </w:t>
      </w:r>
      <w:r w:rsidRPr="00263E2A">
        <w:t>E</w:t>
      </w:r>
      <w:r w:rsidR="005D1CC5">
        <w:t>meritus members.</w:t>
      </w:r>
    </w:p>
    <w:p w:rsidR="008F3A10" w:rsidRPr="00E64DD3" w:rsidRDefault="008F3A10" w:rsidP="00331189">
      <w:pPr>
        <w:pStyle w:val="Heading4"/>
        <w:numPr>
          <w:ilvl w:val="0"/>
          <w:numId w:val="6"/>
        </w:numPr>
        <w:rPr>
          <w:rFonts w:eastAsia="Times New Roman"/>
        </w:rPr>
      </w:pPr>
      <w:r w:rsidRPr="00E64DD3">
        <w:rPr>
          <w:rFonts w:eastAsia="Times New Roman"/>
        </w:rPr>
        <w:t>Officers:</w:t>
      </w:r>
    </w:p>
    <w:p w:rsidR="008F3A10" w:rsidRDefault="008F3A10" w:rsidP="00331189">
      <w:pPr>
        <w:pStyle w:val="BODY"/>
      </w:pPr>
      <w:r w:rsidRPr="00E64DD3">
        <w:t xml:space="preserve">The name and organization of each person that held an office during the year should be included. If an office was held by more than one person, list each and indicate dates in office. </w:t>
      </w:r>
    </w:p>
    <w:tbl>
      <w:tblPr>
        <w:tblW w:w="8124" w:type="dxa"/>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750"/>
        <w:gridCol w:w="4374"/>
      </w:tblGrid>
      <w:tr w:rsidR="00DF2810" w:rsidRPr="00E64DD3" w:rsidTr="00FC2CF8">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F2810" w:rsidRPr="00E64DD3" w:rsidRDefault="00DF2810" w:rsidP="005F161E">
            <w:pPr>
              <w:spacing w:before="100" w:beforeAutospacing="1" w:after="100" w:afterAutospacing="1" w:line="240" w:lineRule="auto"/>
              <w:rPr>
                <w:rFonts w:ascii="Arial" w:eastAsia="Times New Roman" w:hAnsi="Arial" w:cs="Arial"/>
                <w:b/>
                <w:sz w:val="20"/>
                <w:szCs w:val="20"/>
              </w:rPr>
            </w:pPr>
            <w:r>
              <w:rPr>
                <w:rFonts w:ascii="Arial" w:eastAsia="Times New Roman" w:hAnsi="Arial" w:cs="Arial"/>
                <w:b/>
                <w:sz w:val="20"/>
                <w:szCs w:val="20"/>
              </w:rPr>
              <w:t>Officer Position</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F2810" w:rsidRPr="00E64DD3" w:rsidRDefault="00DF2810" w:rsidP="005F161E">
            <w:pPr>
              <w:spacing w:before="100" w:beforeAutospacing="1" w:after="100" w:afterAutospacing="1" w:line="240" w:lineRule="auto"/>
              <w:rPr>
                <w:rFonts w:ascii="Arial" w:eastAsia="Times New Roman" w:hAnsi="Arial" w:cs="Arial"/>
                <w:b/>
                <w:sz w:val="20"/>
                <w:szCs w:val="20"/>
              </w:rPr>
            </w:pPr>
            <w:r w:rsidRPr="00E64DD3">
              <w:rPr>
                <w:rFonts w:ascii="Arial" w:eastAsia="Times New Roman" w:hAnsi="Arial" w:cs="Arial"/>
                <w:b/>
                <w:sz w:val="20"/>
                <w:szCs w:val="20"/>
              </w:rPr>
              <w:t>Name and organization represented</w:t>
            </w:r>
          </w:p>
        </w:tc>
      </w:tr>
      <w:tr w:rsidR="00DF2810" w:rsidRPr="00E64DD3" w:rsidTr="00FC2CF8">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F2810" w:rsidRPr="00E64DD3" w:rsidRDefault="00DF2810" w:rsidP="005F161E">
            <w:p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 xml:space="preserve">T11 </w:t>
            </w:r>
            <w:r w:rsidRPr="00E64DD3">
              <w:rPr>
                <w:rFonts w:ascii="Arial" w:eastAsia="Times New Roman" w:hAnsi="Arial" w:cs="Arial"/>
                <w:sz w:val="20"/>
                <w:szCs w:val="20"/>
              </w:rPr>
              <w:t>Chair</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F2810" w:rsidRPr="00E64DD3" w:rsidRDefault="00DF2810" w:rsidP="005F161E">
            <w:p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 xml:space="preserve">Steven </w:t>
            </w:r>
            <w:r w:rsidR="00FC2CF8">
              <w:rPr>
                <w:rFonts w:ascii="Arial" w:eastAsia="Times New Roman" w:hAnsi="Arial" w:cs="Arial"/>
                <w:sz w:val="20"/>
                <w:szCs w:val="20"/>
              </w:rPr>
              <w:t>Wilson Broadcom</w:t>
            </w:r>
          </w:p>
        </w:tc>
      </w:tr>
      <w:tr w:rsidR="00DF2810" w:rsidRPr="00E64DD3" w:rsidTr="00FC2CF8">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F2810" w:rsidRPr="00E64DD3" w:rsidRDefault="00DF2810" w:rsidP="005F161E">
            <w:p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 xml:space="preserve">T11 </w:t>
            </w:r>
            <w:r w:rsidRPr="00E64DD3">
              <w:rPr>
                <w:rFonts w:ascii="Arial" w:eastAsia="Times New Roman" w:hAnsi="Arial" w:cs="Arial"/>
                <w:sz w:val="20"/>
                <w:szCs w:val="20"/>
              </w:rPr>
              <w:t>Vice Chair</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F2810" w:rsidRPr="000646D7" w:rsidRDefault="00FC2CF8" w:rsidP="005F161E">
            <w:p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Craig Carlson Qlogic</w:t>
            </w:r>
          </w:p>
        </w:tc>
      </w:tr>
      <w:tr w:rsidR="00DF2810" w:rsidRPr="00E64DD3" w:rsidTr="00FC2CF8">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F2810" w:rsidRPr="00E64DD3" w:rsidRDefault="00DF2810" w:rsidP="005F161E">
            <w:p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 xml:space="preserve">T11 </w:t>
            </w:r>
            <w:r w:rsidRPr="00E64DD3">
              <w:rPr>
                <w:rFonts w:ascii="Arial" w:eastAsia="Times New Roman" w:hAnsi="Arial" w:cs="Arial"/>
                <w:sz w:val="20"/>
                <w:szCs w:val="20"/>
              </w:rPr>
              <w:t>Secretary</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F2810" w:rsidRPr="00E64DD3" w:rsidRDefault="00C3587C" w:rsidP="005F161E">
            <w:p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 xml:space="preserve">Richard Johnson </w:t>
            </w:r>
            <w:r w:rsidR="00DF2810">
              <w:rPr>
                <w:rFonts w:ascii="Arial" w:eastAsia="Times New Roman" w:hAnsi="Arial" w:cs="Arial"/>
                <w:sz w:val="20"/>
                <w:szCs w:val="20"/>
              </w:rPr>
              <w:t>Finisar</w:t>
            </w:r>
          </w:p>
        </w:tc>
      </w:tr>
      <w:tr w:rsidR="00DF2810" w:rsidRPr="00E64DD3" w:rsidTr="00FC2CF8">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F2810" w:rsidRPr="00E64DD3" w:rsidRDefault="00DF2810" w:rsidP="005F161E">
            <w:p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lastRenderedPageBreak/>
              <w:t xml:space="preserve">T11 </w:t>
            </w:r>
            <w:r w:rsidRPr="00E64DD3">
              <w:rPr>
                <w:rFonts w:ascii="Arial" w:eastAsia="Times New Roman" w:hAnsi="Arial" w:cs="Arial"/>
                <w:sz w:val="20"/>
                <w:szCs w:val="20"/>
              </w:rPr>
              <w:t>International Representative</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F2810" w:rsidRPr="00E64DD3" w:rsidRDefault="00FC2CF8" w:rsidP="005F161E">
            <w:p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Dave Peterson Broadcom</w:t>
            </w:r>
          </w:p>
        </w:tc>
      </w:tr>
      <w:tr w:rsidR="00DF2810" w:rsidRPr="00E64DD3" w:rsidTr="00FC2CF8">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F2810" w:rsidRDefault="00DF2810" w:rsidP="005F161E">
            <w:p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T11.2 Chair</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F2810" w:rsidRDefault="00DF2810" w:rsidP="00D872DA">
            <w:p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 xml:space="preserve">Tom Palkert </w:t>
            </w:r>
            <w:r w:rsidR="00D872DA">
              <w:rPr>
                <w:rFonts w:ascii="Arial" w:eastAsia="Times New Roman" w:hAnsi="Arial" w:cs="Arial"/>
                <w:sz w:val="20"/>
                <w:szCs w:val="20"/>
              </w:rPr>
              <w:t>Macom</w:t>
            </w:r>
          </w:p>
        </w:tc>
      </w:tr>
      <w:tr w:rsidR="00DF2810" w:rsidRPr="00E64DD3" w:rsidTr="00FC2CF8">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F2810" w:rsidRDefault="00DF2810" w:rsidP="005F161E">
            <w:p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T11.2 Vice Chair</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F2810" w:rsidRDefault="00DF2810" w:rsidP="005F161E">
            <w:p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Dean Wallace Qlogic</w:t>
            </w:r>
          </w:p>
        </w:tc>
      </w:tr>
      <w:tr w:rsidR="00DF2810" w:rsidRPr="00E64DD3" w:rsidTr="00FC2CF8">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F2810" w:rsidRDefault="00DF2810" w:rsidP="005F161E">
            <w:p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T11.2 Secretary</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F2810" w:rsidRDefault="00DF2810" w:rsidP="005F161E">
            <w:p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Richard Johnson Finisar</w:t>
            </w:r>
          </w:p>
        </w:tc>
      </w:tr>
      <w:tr w:rsidR="00DF2810" w:rsidRPr="00E64DD3" w:rsidTr="00FC2CF8">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F2810" w:rsidRDefault="00DF2810" w:rsidP="005F161E">
            <w:p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T11.3 Chair</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F2810" w:rsidRDefault="00DF2810" w:rsidP="005F161E">
            <w:p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Craig Carlson Qlogic</w:t>
            </w:r>
          </w:p>
        </w:tc>
      </w:tr>
      <w:tr w:rsidR="00DF2810" w:rsidRPr="00E64DD3" w:rsidTr="00FC2CF8">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F2810" w:rsidRDefault="00DF2810" w:rsidP="005F161E">
            <w:p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T11.3 Vice Chair</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F2810" w:rsidRDefault="00FC2CF8" w:rsidP="00D872DA">
            <w:p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Roger Hathorn IBM</w:t>
            </w:r>
          </w:p>
        </w:tc>
      </w:tr>
      <w:tr w:rsidR="00DF2810" w:rsidRPr="00E64DD3" w:rsidTr="00FC2CF8">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F2810" w:rsidRDefault="00DF2810" w:rsidP="005F161E">
            <w:p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T11.3 Secretary</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F2810" w:rsidRDefault="00C3587C" w:rsidP="005F161E">
            <w:p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Patty Driever I</w:t>
            </w:r>
            <w:r w:rsidR="00DF2810">
              <w:rPr>
                <w:rFonts w:ascii="Arial" w:eastAsia="Times New Roman" w:hAnsi="Arial" w:cs="Arial"/>
                <w:sz w:val="20"/>
                <w:szCs w:val="20"/>
              </w:rPr>
              <w:t>BM</w:t>
            </w:r>
          </w:p>
        </w:tc>
      </w:tr>
    </w:tbl>
    <w:p w:rsidR="00DF2810" w:rsidRPr="00E64DD3" w:rsidRDefault="00DF2810" w:rsidP="00331189">
      <w:pPr>
        <w:pStyle w:val="BODY"/>
      </w:pPr>
    </w:p>
    <w:p w:rsidR="008F3A10" w:rsidRPr="00E64DD3" w:rsidRDefault="008F3A10" w:rsidP="00331189">
      <w:pPr>
        <w:pStyle w:val="Heading4"/>
        <w:numPr>
          <w:ilvl w:val="0"/>
          <w:numId w:val="6"/>
        </w:numPr>
        <w:rPr>
          <w:rFonts w:eastAsia="Times New Roman"/>
        </w:rPr>
      </w:pPr>
      <w:r w:rsidRPr="00E64DD3">
        <w:rPr>
          <w:rFonts w:eastAsia="Times New Roman"/>
        </w:rPr>
        <w:t>Membership:</w:t>
      </w:r>
    </w:p>
    <w:p w:rsidR="008F3A10" w:rsidRPr="00E64DD3" w:rsidRDefault="00C37438" w:rsidP="00331189">
      <w:pPr>
        <w:pStyle w:val="BODY"/>
      </w:pPr>
      <w:r>
        <w:rPr>
          <w:rFonts w:ascii="Helvetica" w:hAnsi="Helvetica" w:cs="Helvetica"/>
        </w:rPr>
        <w:t xml:space="preserve">The membership lists for FC-TC are available on </w:t>
      </w:r>
      <w:hyperlink r:id="rId9" w:history="1">
        <w:r w:rsidR="005D1CC5" w:rsidRPr="00D85A76">
          <w:rPr>
            <w:rStyle w:val="Hyperlink"/>
            <w:rFonts w:ascii="Helvetica" w:hAnsi="Helvetica" w:cs="Helvetica"/>
          </w:rPr>
          <w:t>www.incits.org</w:t>
        </w:r>
      </w:hyperlink>
      <w:r w:rsidR="005D1CC5">
        <w:t xml:space="preserve">. </w:t>
      </w:r>
    </w:p>
    <w:p w:rsidR="008F3A10" w:rsidRPr="006F5379" w:rsidRDefault="008F3A10" w:rsidP="00331189">
      <w:pPr>
        <w:pStyle w:val="Heading4"/>
        <w:numPr>
          <w:ilvl w:val="0"/>
          <w:numId w:val="5"/>
        </w:numPr>
        <w:rPr>
          <w:rFonts w:eastAsia="Times New Roman"/>
        </w:rPr>
      </w:pPr>
      <w:r w:rsidRPr="006F5379">
        <w:rPr>
          <w:rFonts w:eastAsia="Times New Roman"/>
        </w:rPr>
        <w:t>Future Trends and Related Technical Activities</w:t>
      </w:r>
    </w:p>
    <w:p w:rsidR="001819D1" w:rsidRDefault="001819D1" w:rsidP="001819D1">
      <w:pPr>
        <w:pStyle w:val="BODY"/>
      </w:pPr>
      <w:r>
        <w:t>The work of FC-TC remains very important because of the requirements of the changing economy and the requirement to protect corporate data. The implementation of Fibre Channel based systems for Storage Area Networks (SANs) has demonstrated that more efficient use can be made of computer and storage resources in many environments. At the same time, the long-distance capabilities provided by Fibre Channel allow high performance mirroring and backup to assure the continuation of normal business in the event of natural or man-made damage to a part of the system. It is likely that both these requirements will continue to build the marketplace for FC-TC technology over the next several years.</w:t>
      </w:r>
    </w:p>
    <w:p w:rsidR="001819D1" w:rsidRDefault="001819D1" w:rsidP="001819D1">
      <w:pPr>
        <w:pStyle w:val="BODY"/>
      </w:pPr>
      <w:r>
        <w:t>The work is also very important because of the very high bandwidth and transmission efficiency achieved by Fibre Channel implementations. As computing resources grow more powerful and are distributed across more processors, Fibre Channel is the principal technology capable of meeting the performance and connectivity requirements for storage devices in large enterprise data processing environments. Virtualization and Cloud computing will further drive the need for very high bandwidth and transmission efficiency.</w:t>
      </w:r>
    </w:p>
    <w:p w:rsidR="001819D1" w:rsidRDefault="001819D1" w:rsidP="001819D1">
      <w:pPr>
        <w:pStyle w:val="BODY"/>
      </w:pPr>
      <w:r>
        <w:t>Fibre Channel has proven itself a very "green" technology. Power consumption of high bandwidth optical transceivers and the relatively simple switch and host bus adapter implementations enabled by Fibre Channel are generally lower in power and smaller in footprint than competitive technologies of comparable performance. The consolidation of storage and servers that Fibre Channel allows additionally provides power savings. The FC-EE project addresses the general energy efficiency aspects of Fibre Channel.</w:t>
      </w:r>
    </w:p>
    <w:p w:rsidR="001819D1" w:rsidRDefault="001819D1" w:rsidP="001819D1">
      <w:pPr>
        <w:pStyle w:val="BODY"/>
      </w:pPr>
      <w:r>
        <w:t>Fibre Channel has proven itself a secure technology. The simple structures, optical interconnects, and the inability to access the data paths from the control paths create an environment where good security policies are relatively easy to implement. Additional security tools are now being made available in Fibre Channel environments. The Fibre Channel specific portions of this work are being done in FC-TC.</w:t>
      </w:r>
    </w:p>
    <w:p w:rsidR="001819D1" w:rsidRDefault="001819D1" w:rsidP="001819D1">
      <w:pPr>
        <w:pStyle w:val="BODY"/>
      </w:pPr>
      <w:r>
        <w:t>Other technologies, including TCP/IP and SONET connections, are used to extend SANs even beyond the 80 km distance supported by FC-TC-defined Fibre Channel links. Definition of these technologies will be done within other standards organizations, including the IETF and the IEEE, although Fibre Channel specific portions of the work will be done within T11.3 or by liaison with FC-TC.</w:t>
      </w:r>
    </w:p>
    <w:p w:rsidR="001819D1" w:rsidRDefault="001819D1" w:rsidP="001819D1">
      <w:pPr>
        <w:pStyle w:val="BODY"/>
      </w:pPr>
      <w:r>
        <w:t xml:space="preserve">For the class of servers that use Ethernet as an I/O convergence technology, FCoE is proving to be an exciting new technology. It is likely to significantly increase the marketplace for Fibre Channel </w:t>
      </w:r>
      <w:proofErr w:type="spellStart"/>
      <w:r>
        <w:t>SANs</w:t>
      </w:r>
      <w:proofErr w:type="spellEnd"/>
      <w:r>
        <w:t xml:space="preserve"> and provide significant cost/performance and power/performance benefits for a large number of computational environments. </w:t>
      </w:r>
    </w:p>
    <w:p w:rsidR="001819D1" w:rsidRDefault="001819D1" w:rsidP="001819D1">
      <w:pPr>
        <w:pStyle w:val="BODY"/>
      </w:pPr>
      <w:r>
        <w:t>The management of SANs will continue to become an increasingly important activity. While it is likely that significant parts of the work will be carried forward within FC-TC, other parts of the work may be carried forward in other standards organizations or industry consortia, including T10, SNIA, and DMTF. Much of the work specific to Fibre Channel for these broader organizations will be carried on with liaison with FC-TC.</w:t>
      </w:r>
    </w:p>
    <w:p w:rsidR="001819D1" w:rsidRDefault="001819D1" w:rsidP="001819D1">
      <w:pPr>
        <w:pStyle w:val="BODY"/>
      </w:pPr>
      <w:r>
        <w:t xml:space="preserve">As previously discussed the goal of T11 is to spawn new FC work based on SSDs, cloud, virtualization, and software defined networks/storage. </w:t>
      </w:r>
      <w:r w:rsidR="000F31CF">
        <w:t>The enthusiasm around the FC-NVMe project is evidence of this view.</w:t>
      </w:r>
    </w:p>
    <w:p w:rsidR="008F3A10" w:rsidRPr="00E64DD3" w:rsidRDefault="001819D1" w:rsidP="001819D1">
      <w:pPr>
        <w:pStyle w:val="BODY"/>
      </w:pPr>
      <w:r>
        <w:t>Industry consortia remain an important source of new standards activities. There is a strong desire by many organizations to create more formal standards based on those standards activities. INCITS will continue to be an important mechanism for carrying such documents forward into the standards world</w:t>
      </w:r>
      <w:r w:rsidR="008F3A10" w:rsidRPr="00E64DD3">
        <w:t>.</w:t>
      </w:r>
    </w:p>
    <w:p w:rsidR="008F3A10" w:rsidRPr="006F5379" w:rsidRDefault="008F3A10" w:rsidP="00331189">
      <w:pPr>
        <w:pStyle w:val="Heading4"/>
        <w:numPr>
          <w:ilvl w:val="0"/>
          <w:numId w:val="5"/>
        </w:numPr>
        <w:rPr>
          <w:rFonts w:eastAsia="Times New Roman"/>
        </w:rPr>
      </w:pPr>
      <w:r w:rsidRPr="006F5379">
        <w:rPr>
          <w:rFonts w:eastAsia="Times New Roman"/>
        </w:rPr>
        <w:lastRenderedPageBreak/>
        <w:t>Other Administrative Information</w:t>
      </w:r>
    </w:p>
    <w:p w:rsidR="00BF4E02" w:rsidRPr="00BF4E02" w:rsidRDefault="00BF4E02" w:rsidP="00BF4E02">
      <w:pPr>
        <w:pStyle w:val="BODY"/>
        <w:rPr>
          <w:b/>
        </w:rPr>
      </w:pPr>
      <w:r w:rsidRPr="00BF4E02">
        <w:rPr>
          <w:b/>
        </w:rPr>
        <w:t>Financial Statement:</w:t>
      </w:r>
    </w:p>
    <w:p w:rsidR="00BF4E02" w:rsidRDefault="00BF4E02" w:rsidP="00BF4E02">
      <w:pPr>
        <w:pStyle w:val="BODY"/>
      </w:pPr>
      <w:r>
        <w:t>FC-TC meeting activities are financed and hosted by volunteer organizations. The individual participants and their member organizations finance all travel, room, and related business expenses. FC-TC has no direct financial activities.</w:t>
      </w:r>
    </w:p>
    <w:p w:rsidR="00BF4E02" w:rsidRPr="00BF4E02" w:rsidRDefault="00BF4E02" w:rsidP="00BF4E02">
      <w:pPr>
        <w:pStyle w:val="BODY"/>
        <w:rPr>
          <w:b/>
        </w:rPr>
      </w:pPr>
      <w:r w:rsidRPr="00BF4E02">
        <w:rPr>
          <w:b/>
        </w:rPr>
        <w:t>Public access policy:</w:t>
      </w:r>
    </w:p>
    <w:p w:rsidR="00351FB3" w:rsidRDefault="00BF4E02" w:rsidP="001C1FEB">
      <w:pPr>
        <w:pStyle w:val="BODY"/>
      </w:pPr>
      <w:r>
        <w:t xml:space="preserve">FC-TC </w:t>
      </w:r>
      <w:r w:rsidR="001C1FEB" w:rsidRPr="00DB246D">
        <w:rPr>
          <w:rStyle w:val="Hyperlink"/>
          <w:rFonts w:eastAsiaTheme="minorHAnsi" w:cs="Arial"/>
          <w:color w:val="auto"/>
          <w:szCs w:val="20"/>
          <w:u w:val="none"/>
        </w:rPr>
        <w:t>makes use of the INCITS public access process in Section 3.11</w:t>
      </w:r>
      <w:r w:rsidR="007A5780">
        <w:rPr>
          <w:rStyle w:val="Hyperlink"/>
          <w:rFonts w:eastAsiaTheme="minorHAnsi" w:cs="Arial"/>
          <w:color w:val="auto"/>
          <w:szCs w:val="20"/>
          <w:u w:val="none"/>
        </w:rPr>
        <w:t xml:space="preserve"> in the procedures</w:t>
      </w:r>
      <w:bookmarkStart w:id="0" w:name="_GoBack"/>
      <w:bookmarkEnd w:id="0"/>
      <w:r w:rsidR="001C1FEB">
        <w:rPr>
          <w:rStyle w:val="Hyperlink"/>
          <w:rFonts w:eastAsiaTheme="minorHAnsi" w:cs="Arial"/>
          <w:color w:val="auto"/>
          <w:szCs w:val="20"/>
          <w:u w:val="none"/>
        </w:rPr>
        <w:t>.</w:t>
      </w:r>
    </w:p>
    <w:p w:rsidR="00E601EC" w:rsidRPr="00E601EC" w:rsidRDefault="00BF4E02" w:rsidP="00BF4E02">
      <w:pPr>
        <w:pStyle w:val="BODY"/>
        <w:rPr>
          <w:b/>
        </w:rPr>
      </w:pPr>
      <w:r w:rsidRPr="00885FDE">
        <w:rPr>
          <w:b/>
        </w:rPr>
        <w:t>Web-based procedures:</w:t>
      </w:r>
    </w:p>
    <w:p w:rsidR="00BF4E02" w:rsidRDefault="00BF4E02" w:rsidP="00BF4E02">
      <w:pPr>
        <w:pStyle w:val="BODY"/>
      </w:pPr>
      <w:r>
        <w:t>FC-TC made a major transition in 1998 from paper-based operating procedures to completely web-based, interactive procedures. The web-based system</w:t>
      </w:r>
      <w:r w:rsidR="007B727C">
        <w:t xml:space="preserve"> (t11.org) </w:t>
      </w:r>
      <w:r w:rsidR="009872D3">
        <w:t>ha</w:t>
      </w:r>
      <w:r w:rsidR="00867049">
        <w:t>s</w:t>
      </w:r>
      <w:r>
        <w:t xml:space="preserve"> been improved continuously since that ti</w:t>
      </w:r>
      <w:r w:rsidR="00640019">
        <w:t xml:space="preserve">me. </w:t>
      </w:r>
      <w:r>
        <w:t>These capabilities require wireless access at all meeting venues.</w:t>
      </w:r>
    </w:p>
    <w:p w:rsidR="00EE7D64" w:rsidRDefault="009872D3" w:rsidP="002C440B">
      <w:pPr>
        <w:pStyle w:val="BODY"/>
      </w:pPr>
      <w:r>
        <w:t xml:space="preserve">In 2017 </w:t>
      </w:r>
      <w:r w:rsidR="007B727C">
        <w:t xml:space="preserve">FC-TC </w:t>
      </w:r>
      <w:r>
        <w:t>completed the migration</w:t>
      </w:r>
      <w:r w:rsidR="007B727C">
        <w:t xml:space="preserve"> to the INCITS Committee Management System (ICMS). The ICMS system includes most of the functionality provided by </w:t>
      </w:r>
      <w:r w:rsidR="00EE7D64">
        <w:t xml:space="preserve">t11.org. This </w:t>
      </w:r>
      <w:r w:rsidR="007B727C">
        <w:t xml:space="preserve">includes document data bases, balloting, meeting notification and scheduling, attendance, and committee membership. Great care has been </w:t>
      </w:r>
      <w:r w:rsidR="00EE7D64">
        <w:t xml:space="preserve">given </w:t>
      </w:r>
      <w:r w:rsidR="007B727C">
        <w:t xml:space="preserve">during the migration to ICMS </w:t>
      </w:r>
      <w:r w:rsidR="00EE7D64">
        <w:t xml:space="preserve">such </w:t>
      </w:r>
      <w:r w:rsidR="007B727C">
        <w:t>that the public notification policy is still maintained.</w:t>
      </w:r>
      <w:r>
        <w:t xml:space="preserve"> The </w:t>
      </w:r>
      <w:r w:rsidR="00867049">
        <w:t>FCIA has agreed to host t11.org in read only mode and now owns the t11.org domain name.</w:t>
      </w:r>
      <w:r>
        <w:t xml:space="preserve"> </w:t>
      </w:r>
    </w:p>
    <w:p w:rsidR="00EE7D64" w:rsidRDefault="007B727C" w:rsidP="002C440B">
      <w:pPr>
        <w:pStyle w:val="BODY"/>
      </w:pPr>
      <w:r>
        <w:t>Plenary meeting d</w:t>
      </w:r>
      <w:r w:rsidR="002C440B">
        <w:t xml:space="preserve">ocuments are distributed during meetings by Wi-Fi network access </w:t>
      </w:r>
      <w:r w:rsidR="00A15FC4">
        <w:t xml:space="preserve">to the ICMS document database </w:t>
      </w:r>
      <w:r w:rsidR="002C440B">
        <w:t>and by USB storage device.</w:t>
      </w:r>
    </w:p>
    <w:p w:rsidR="008E4A77" w:rsidRPr="008E4A77" w:rsidRDefault="008E4A77" w:rsidP="008E4A77">
      <w:pPr>
        <w:pStyle w:val="Heading4"/>
        <w:numPr>
          <w:ilvl w:val="0"/>
          <w:numId w:val="5"/>
        </w:numPr>
        <w:rPr>
          <w:rFonts w:eastAsia="Times New Roman"/>
        </w:rPr>
      </w:pPr>
      <w:r w:rsidRPr="008E4A77">
        <w:rPr>
          <w:rFonts w:eastAsia="Times New Roman"/>
        </w:rPr>
        <w:t>Marketing Information</w:t>
      </w:r>
    </w:p>
    <w:p w:rsidR="000C3FD1" w:rsidRDefault="00374225" w:rsidP="008E4A77">
      <w:pPr>
        <w:pStyle w:val="BODY"/>
      </w:pPr>
      <w:r>
        <w:t>FC-TC has a close working relationship with the Fi</w:t>
      </w:r>
      <w:r w:rsidR="003F7BD5">
        <w:t xml:space="preserve">bre Channel </w:t>
      </w:r>
      <w:r>
        <w:t xml:space="preserve">Industry association (FCIA) which functions as the industry </w:t>
      </w:r>
      <w:r w:rsidR="003F7BD5">
        <w:t>marketing arm for Fibre Channel and TC-T11.</w:t>
      </w:r>
    </w:p>
    <w:p w:rsidR="00D413FE" w:rsidRPr="00D413FE" w:rsidRDefault="00D413FE" w:rsidP="00FB2D8E">
      <w:pPr>
        <w:pStyle w:val="Heading4"/>
        <w:rPr>
          <w:rFonts w:eastAsia="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EB default ballot transmittal"/>
      </w:tblPr>
      <w:tblGrid>
        <w:gridCol w:w="10908"/>
      </w:tblGrid>
      <w:tr w:rsidR="00F375ED" w:rsidRPr="00B7087D" w:rsidTr="004E697C">
        <w:tc>
          <w:tcPr>
            <w:tcW w:w="10908" w:type="dxa"/>
            <w:tcBorders>
              <w:bottom w:val="single" w:sz="4" w:space="0" w:color="auto"/>
            </w:tcBorders>
          </w:tcPr>
          <w:p w:rsidR="00F375ED" w:rsidRPr="00B7087D" w:rsidRDefault="00F375ED" w:rsidP="004E697C">
            <w:pPr>
              <w:spacing w:before="120" w:after="120"/>
              <w:rPr>
                <w:rFonts w:ascii="Arial" w:eastAsia="Times New Roman" w:hAnsi="Arial" w:cs="Arial"/>
                <w:sz w:val="20"/>
                <w:szCs w:val="20"/>
              </w:rPr>
            </w:pPr>
            <w:r>
              <w:rPr>
                <w:rFonts w:ascii="Arial" w:eastAsia="Times New Roman" w:hAnsi="Arial" w:cs="Arial"/>
                <w:bCs/>
                <w:sz w:val="20"/>
                <w:szCs w:val="20"/>
              </w:rPr>
              <w:t>Committee Membership</w:t>
            </w:r>
            <w:r w:rsidR="00D413FE">
              <w:rPr>
                <w:rFonts w:ascii="Arial" w:eastAsia="Times New Roman" w:hAnsi="Arial" w:cs="Arial"/>
                <w:bCs/>
                <w:sz w:val="20"/>
                <w:szCs w:val="20"/>
              </w:rPr>
              <w:t xml:space="preserve"> is added by the Secretariat.</w:t>
            </w:r>
          </w:p>
        </w:tc>
      </w:tr>
    </w:tbl>
    <w:p w:rsidR="00F375ED" w:rsidRPr="00B7087D" w:rsidRDefault="00F375ED" w:rsidP="00F375ED">
      <w:pPr>
        <w:rPr>
          <w:rFonts w:ascii="Arial" w:hAnsi="Arial" w:cs="Arial"/>
          <w:sz w:val="20"/>
          <w:szCs w:val="20"/>
        </w:rPr>
      </w:pPr>
    </w:p>
    <w:p w:rsidR="00F375ED" w:rsidRPr="00A455BF" w:rsidRDefault="00F375ED" w:rsidP="007C1F15">
      <w:pPr>
        <w:pStyle w:val="BODY"/>
      </w:pPr>
    </w:p>
    <w:sectPr w:rsidR="00F375ED" w:rsidRPr="00A455BF" w:rsidSect="00D77558">
      <w:headerReference w:type="default" r:id="rId10"/>
      <w:headerReference w:type="first" r:id="rId11"/>
      <w:pgSz w:w="12240" w:h="15840" w:code="1"/>
      <w:pgMar w:top="108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4DAB" w:rsidRDefault="00F74DAB">
      <w:pPr>
        <w:spacing w:after="0" w:line="240" w:lineRule="auto"/>
      </w:pPr>
      <w:r>
        <w:separator/>
      </w:r>
    </w:p>
  </w:endnote>
  <w:endnote w:type="continuationSeparator" w:id="0">
    <w:p w:rsidR="00F74DAB" w:rsidRDefault="00F74D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4DAB" w:rsidRDefault="00F74DAB">
      <w:pPr>
        <w:spacing w:after="0" w:line="240" w:lineRule="auto"/>
      </w:pPr>
      <w:r>
        <w:separator/>
      </w:r>
    </w:p>
  </w:footnote>
  <w:footnote w:type="continuationSeparator" w:id="0">
    <w:p w:rsidR="00F74DAB" w:rsidRDefault="00F74D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6886" w:rsidRDefault="00C06886" w:rsidP="00B36BB5">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3074" w:rsidRDefault="00303074" w:rsidP="00303074">
    <w:pPr>
      <w:spacing w:after="0" w:line="240" w:lineRule="auto"/>
      <w:jc w:val="right"/>
      <w:rPr>
        <w:rFonts w:ascii="Arial" w:eastAsia="Times New Roman" w:hAnsi="Arial" w:cs="Arial"/>
        <w:b/>
        <w:bCs/>
        <w:sz w:val="18"/>
        <w:szCs w:val="18"/>
      </w:rPr>
    </w:pPr>
    <w:r>
      <w:rPr>
        <w:rFonts w:ascii="Arial" w:eastAsia="Times New Roman" w:hAnsi="Arial" w:cs="Arial"/>
        <w:noProof/>
        <w:sz w:val="18"/>
        <w:szCs w:val="18"/>
      </w:rPr>
      <w:drawing>
        <wp:inline distT="0" distB="0" distL="0" distR="0" wp14:anchorId="238A35A3" wp14:editId="083861B2">
          <wp:extent cx="1531738" cy="564543"/>
          <wp:effectExtent l="0" t="0" r="0" b="6985"/>
          <wp:docPr id="2" name="Picture 2" title="INCI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CITS.jpg"/>
                  <pic:cNvPicPr/>
                </pic:nvPicPr>
                <pic:blipFill>
                  <a:blip r:embed="rId1">
                    <a:extLst>
                      <a:ext uri="{28A0092B-C50C-407E-A947-70E740481C1C}">
                        <a14:useLocalDpi xmlns:a14="http://schemas.microsoft.com/office/drawing/2010/main" val="0"/>
                      </a:ext>
                    </a:extLst>
                  </a:blip>
                  <a:stretch>
                    <a:fillRect/>
                  </a:stretch>
                </pic:blipFill>
                <pic:spPr>
                  <a:xfrm>
                    <a:off x="0" y="0"/>
                    <a:ext cx="1531847" cy="564583"/>
                  </a:xfrm>
                  <a:prstGeom prst="rect">
                    <a:avLst/>
                  </a:prstGeom>
                </pic:spPr>
              </pic:pic>
            </a:graphicData>
          </a:graphic>
        </wp:inline>
      </w:drawing>
    </w:r>
  </w:p>
  <w:p w:rsidR="00303074" w:rsidRDefault="00303074" w:rsidP="00303074">
    <w:pPr>
      <w:spacing w:after="0" w:line="240" w:lineRule="auto"/>
      <w:jc w:val="right"/>
      <w:rPr>
        <w:rFonts w:ascii="Arial" w:eastAsia="Times New Roman" w:hAnsi="Arial" w:cs="Arial"/>
        <w:b/>
        <w:bCs/>
        <w:sz w:val="18"/>
        <w:szCs w:val="18"/>
      </w:rPr>
    </w:pPr>
  </w:p>
  <w:p w:rsidR="00303074" w:rsidRPr="00CA6A2C" w:rsidRDefault="00303074" w:rsidP="00303074">
    <w:pPr>
      <w:spacing w:after="0" w:line="240" w:lineRule="auto"/>
      <w:jc w:val="right"/>
      <w:rPr>
        <w:rFonts w:ascii="Arial" w:eastAsia="Times New Roman" w:hAnsi="Arial" w:cs="Arial"/>
        <w:b/>
        <w:bCs/>
        <w:sz w:val="18"/>
        <w:szCs w:val="18"/>
      </w:rPr>
    </w:pPr>
    <w:r w:rsidRPr="00CA6A2C">
      <w:rPr>
        <w:rFonts w:ascii="Arial" w:eastAsia="Times New Roman" w:hAnsi="Arial" w:cs="Arial"/>
        <w:b/>
        <w:bCs/>
        <w:sz w:val="18"/>
        <w:szCs w:val="18"/>
      </w:rPr>
      <w:t>InterNational Committee for Information Technology Standards (INCITS)</w:t>
    </w:r>
  </w:p>
  <w:p w:rsidR="00303074" w:rsidRPr="008C387E" w:rsidRDefault="00303074" w:rsidP="00303074">
    <w:pPr>
      <w:pStyle w:val="Footer"/>
      <w:spacing w:after="0" w:line="240" w:lineRule="auto"/>
      <w:jc w:val="right"/>
      <w:rPr>
        <w:rFonts w:ascii="Arial" w:eastAsia="Times New Roman" w:hAnsi="Arial" w:cs="Arial"/>
        <w:sz w:val="18"/>
        <w:szCs w:val="18"/>
      </w:rPr>
    </w:pPr>
    <w:r>
      <w:rPr>
        <w:rFonts w:ascii="Arial" w:eastAsia="Times New Roman" w:hAnsi="Arial" w:cs="Arial"/>
        <w:sz w:val="18"/>
        <w:szCs w:val="18"/>
      </w:rPr>
      <w:t xml:space="preserve">Secretariat: </w:t>
    </w:r>
    <w:r w:rsidRPr="00CA6A2C">
      <w:rPr>
        <w:rFonts w:ascii="Arial" w:eastAsia="Times New Roman" w:hAnsi="Arial" w:cs="Arial"/>
        <w:sz w:val="18"/>
        <w:szCs w:val="18"/>
      </w:rPr>
      <w:t>Informati</w:t>
    </w:r>
    <w:r w:rsidRPr="008C387E">
      <w:rPr>
        <w:rFonts w:ascii="Arial" w:eastAsia="Times New Roman" w:hAnsi="Arial" w:cs="Arial"/>
        <w:sz w:val="18"/>
        <w:szCs w:val="18"/>
      </w:rPr>
      <w:t>on Technology Industry Council (ITI)</w:t>
    </w:r>
  </w:p>
  <w:p w:rsidR="00303074" w:rsidRDefault="00303074" w:rsidP="00303074">
    <w:pPr>
      <w:pStyle w:val="Footer"/>
      <w:spacing w:after="0" w:line="240" w:lineRule="auto"/>
      <w:jc w:val="right"/>
      <w:rPr>
        <w:rFonts w:ascii="Arial" w:eastAsia="Times New Roman" w:hAnsi="Arial" w:cs="Arial"/>
        <w:sz w:val="18"/>
        <w:szCs w:val="18"/>
      </w:rPr>
    </w:pPr>
    <w:r w:rsidRPr="008C387E">
      <w:rPr>
        <w:rFonts w:ascii="Arial" w:eastAsia="Times New Roman" w:hAnsi="Arial" w:cs="Arial"/>
        <w:sz w:val="18"/>
        <w:szCs w:val="18"/>
      </w:rPr>
      <w:t>1101 K St</w:t>
    </w:r>
    <w:r>
      <w:rPr>
        <w:rFonts w:ascii="Arial" w:eastAsia="Times New Roman" w:hAnsi="Arial" w:cs="Arial"/>
        <w:sz w:val="18"/>
        <w:szCs w:val="18"/>
      </w:rPr>
      <w:t>reet</w:t>
    </w:r>
    <w:r w:rsidRPr="008C387E">
      <w:rPr>
        <w:rFonts w:ascii="Arial" w:eastAsia="Times New Roman" w:hAnsi="Arial" w:cs="Arial"/>
        <w:sz w:val="18"/>
        <w:szCs w:val="18"/>
      </w:rPr>
      <w:t xml:space="preserve"> NW, Suite 610, Washington, DC 20005</w:t>
    </w:r>
  </w:p>
  <w:p w:rsidR="000644F3" w:rsidRDefault="00F74DAB" w:rsidP="000644F3">
    <w:pPr>
      <w:pStyle w:val="Footer"/>
      <w:spacing w:after="60" w:line="240" w:lineRule="auto"/>
      <w:jc w:val="right"/>
      <w:rPr>
        <w:rFonts w:ascii="Arial" w:eastAsia="Times New Roman" w:hAnsi="Arial" w:cs="Arial"/>
        <w:sz w:val="18"/>
        <w:szCs w:val="18"/>
      </w:rPr>
    </w:pPr>
    <w:hyperlink r:id="rId2" w:history="1">
      <w:r w:rsidR="000644F3" w:rsidRPr="00A4609C">
        <w:rPr>
          <w:rStyle w:val="Hyperlink"/>
          <w:rFonts w:ascii="Arial" w:eastAsia="Times New Roman" w:hAnsi="Arial" w:cs="Arial"/>
          <w:sz w:val="18"/>
          <w:szCs w:val="18"/>
        </w:rPr>
        <w:t>www.INCITS.org</w:t>
      </w:r>
    </w:hyperlink>
  </w:p>
  <w:p w:rsidR="000644F3" w:rsidRPr="008C387E" w:rsidRDefault="000644F3" w:rsidP="000644F3">
    <w:pPr>
      <w:pStyle w:val="Footer"/>
      <w:spacing w:after="0" w:line="240" w:lineRule="auto"/>
      <w:jc w:val="right"/>
      <w:rPr>
        <w:rFonts w:ascii="Arial" w:eastAsia="Times New Roman" w:hAnsi="Arial" w:cs="Arial"/>
        <w:sz w:val="18"/>
        <w:szCs w:val="18"/>
      </w:rPr>
    </w:pPr>
    <w:r>
      <w:rPr>
        <w:rFonts w:ascii="Arial" w:eastAsia="Times New Roman" w:hAnsi="Arial" w:cs="Arial"/>
        <w:noProof/>
        <w:sz w:val="18"/>
        <w:szCs w:val="18"/>
      </w:rPr>
      <w:drawing>
        <wp:inline distT="0" distB="0" distL="0" distR="0" wp14:anchorId="2B64AC85" wp14:editId="503B382B">
          <wp:extent cx="219694" cy="234462"/>
          <wp:effectExtent l="0" t="0" r="9525" b="0"/>
          <wp:docPr id="6" name="Picture 6">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B.png"/>
                  <pic:cNvPicPr/>
                </pic:nvPicPr>
                <pic:blipFill>
                  <a:blip r:embed="rId4">
                    <a:extLst>
                      <a:ext uri="{28A0092B-C50C-407E-A947-70E740481C1C}">
                        <a14:useLocalDpi xmlns:a14="http://schemas.microsoft.com/office/drawing/2010/main" val="0"/>
                      </a:ext>
                    </a:extLst>
                  </a:blip>
                  <a:stretch>
                    <a:fillRect/>
                  </a:stretch>
                </pic:blipFill>
                <pic:spPr>
                  <a:xfrm>
                    <a:off x="0" y="0"/>
                    <a:ext cx="221210" cy="236080"/>
                  </a:xfrm>
                  <a:prstGeom prst="rect">
                    <a:avLst/>
                  </a:prstGeom>
                </pic:spPr>
              </pic:pic>
            </a:graphicData>
          </a:graphic>
        </wp:inline>
      </w:drawing>
    </w:r>
    <w:r>
      <w:rPr>
        <w:rFonts w:ascii="Arial" w:eastAsia="Times New Roman" w:hAnsi="Arial" w:cs="Arial"/>
        <w:sz w:val="18"/>
        <w:szCs w:val="18"/>
      </w:rPr>
      <w:t xml:space="preserve"> </w:t>
    </w:r>
    <w:r w:rsidRPr="008D6522">
      <w:rPr>
        <w:rFonts w:ascii="Arial" w:eastAsia="Times New Roman" w:hAnsi="Arial" w:cs="Arial"/>
        <w:noProof/>
        <w:sz w:val="18"/>
        <w:szCs w:val="18"/>
      </w:rPr>
      <w:drawing>
        <wp:inline distT="0" distB="0" distL="0" distR="0" wp14:anchorId="0AE698E6" wp14:editId="4B8469C6">
          <wp:extent cx="231569" cy="231569"/>
          <wp:effectExtent l="0" t="0" r="0" b="0"/>
          <wp:docPr id="1" name="Picture 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jpg"/>
                  <pic:cNvPicPr/>
                </pic:nvPicPr>
                <pic:blipFill>
                  <a:blip r:embed="rId6">
                    <a:extLst>
                      <a:ext uri="{28A0092B-C50C-407E-A947-70E740481C1C}">
                        <a14:useLocalDpi xmlns:a14="http://schemas.microsoft.com/office/drawing/2010/main" val="0"/>
                      </a:ext>
                    </a:extLst>
                  </a:blip>
                  <a:stretch>
                    <a:fillRect/>
                  </a:stretch>
                </pic:blipFill>
                <pic:spPr>
                  <a:xfrm>
                    <a:off x="0" y="0"/>
                    <a:ext cx="232172" cy="232172"/>
                  </a:xfrm>
                  <a:prstGeom prst="rect">
                    <a:avLst/>
                  </a:prstGeom>
                </pic:spPr>
              </pic:pic>
            </a:graphicData>
          </a:graphic>
        </wp:inline>
      </w:drawing>
    </w:r>
    <w:r>
      <w:rPr>
        <w:rFonts w:ascii="Arial" w:eastAsia="Times New Roman" w:hAnsi="Arial" w:cs="Arial"/>
        <w:sz w:val="18"/>
        <w:szCs w:val="18"/>
      </w:rPr>
      <w:t xml:space="preserve"> </w:t>
    </w:r>
    <w:r>
      <w:rPr>
        <w:rFonts w:ascii="Arial" w:eastAsia="Times New Roman" w:hAnsi="Arial" w:cs="Arial"/>
        <w:noProof/>
        <w:sz w:val="18"/>
        <w:szCs w:val="18"/>
      </w:rPr>
      <w:drawing>
        <wp:inline distT="0" distB="0" distL="0" distR="0" wp14:anchorId="31DAAFF1" wp14:editId="2D9C7051">
          <wp:extent cx="231569" cy="231569"/>
          <wp:effectExtent l="0" t="0" r="0" b="0"/>
          <wp:docPr id="4" name="Picture 4">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jpg"/>
                  <pic:cNvPicPr/>
                </pic:nvPicPr>
                <pic:blipFill>
                  <a:blip r:embed="rId8">
                    <a:extLst>
                      <a:ext uri="{28A0092B-C50C-407E-A947-70E740481C1C}">
                        <a14:useLocalDpi xmlns:a14="http://schemas.microsoft.com/office/drawing/2010/main" val="0"/>
                      </a:ext>
                    </a:extLst>
                  </a:blip>
                  <a:stretch>
                    <a:fillRect/>
                  </a:stretch>
                </pic:blipFill>
                <pic:spPr>
                  <a:xfrm>
                    <a:off x="0" y="0"/>
                    <a:ext cx="233892" cy="233892"/>
                  </a:xfrm>
                  <a:prstGeom prst="rect">
                    <a:avLst/>
                  </a:prstGeom>
                </pic:spPr>
              </pic:pic>
            </a:graphicData>
          </a:graphic>
        </wp:inline>
      </w:drawing>
    </w:r>
  </w:p>
  <w:p w:rsidR="00303074" w:rsidRDefault="00F74DAB" w:rsidP="00303074">
    <w:pPr>
      <w:pStyle w:val="Header"/>
      <w:tabs>
        <w:tab w:val="clear" w:pos="9360"/>
        <w:tab w:val="right" w:pos="9450"/>
      </w:tabs>
      <w:jc w:val="right"/>
      <w:rPr>
        <w:rFonts w:ascii="Arial" w:eastAsia="Times New Roman" w:hAnsi="Arial" w:cs="Arial"/>
        <w:b/>
        <w:color w:val="FF0000"/>
        <w:sz w:val="18"/>
        <w:szCs w:val="18"/>
      </w:rPr>
    </w:pPr>
    <w:r>
      <w:rPr>
        <w:rFonts w:ascii="Arial" w:eastAsia="Times New Roman" w:hAnsi="Arial" w:cs="Arial"/>
        <w:b/>
        <w:color w:val="FF0000"/>
        <w:sz w:val="18"/>
        <w:szCs w:val="18"/>
      </w:rPr>
      <w:pict>
        <v:rect id="_x0000_i1027" style="width:462.85pt;height:1.5pt" o:hrpct="989" o:hralign="center" o:hrstd="t" o:hrnoshade="t" o:hr="t" fillcolor="#c00000" stroked="f"/>
      </w:pict>
    </w:r>
  </w:p>
  <w:p w:rsidR="00303074" w:rsidRDefault="003030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D7436"/>
    <w:multiLevelType w:val="hybridMultilevel"/>
    <w:tmpl w:val="EB409C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BF5A02"/>
    <w:multiLevelType w:val="hybridMultilevel"/>
    <w:tmpl w:val="1FDA79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A70F7D"/>
    <w:multiLevelType w:val="hybridMultilevel"/>
    <w:tmpl w:val="7E3096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2E1041"/>
    <w:multiLevelType w:val="hybridMultilevel"/>
    <w:tmpl w:val="BBBA3D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650D7C"/>
    <w:multiLevelType w:val="hybridMultilevel"/>
    <w:tmpl w:val="088411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8A532AC"/>
    <w:multiLevelType w:val="hybridMultilevel"/>
    <w:tmpl w:val="73FCFB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6A1CE0"/>
    <w:multiLevelType w:val="hybridMultilevel"/>
    <w:tmpl w:val="F44217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BB32585"/>
    <w:multiLevelType w:val="hybridMultilevel"/>
    <w:tmpl w:val="C908E2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502A97"/>
    <w:multiLevelType w:val="hybridMultilevel"/>
    <w:tmpl w:val="8886F2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5"/>
  </w:num>
  <w:num w:numId="5">
    <w:abstractNumId w:val="7"/>
  </w:num>
  <w:num w:numId="6">
    <w:abstractNumId w:val="6"/>
  </w:num>
  <w:num w:numId="7">
    <w:abstractNumId w:val="4"/>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proofState w:spelling="clean" w:grammar="clean"/>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55BF"/>
    <w:rsid w:val="000018EB"/>
    <w:rsid w:val="00023F0E"/>
    <w:rsid w:val="00031660"/>
    <w:rsid w:val="000321E1"/>
    <w:rsid w:val="00032E8D"/>
    <w:rsid w:val="00043CB0"/>
    <w:rsid w:val="00044FEE"/>
    <w:rsid w:val="00055C69"/>
    <w:rsid w:val="000644F3"/>
    <w:rsid w:val="00066E6A"/>
    <w:rsid w:val="000676AD"/>
    <w:rsid w:val="00081579"/>
    <w:rsid w:val="00082667"/>
    <w:rsid w:val="000916F0"/>
    <w:rsid w:val="000942F5"/>
    <w:rsid w:val="000B4436"/>
    <w:rsid w:val="000C3FD1"/>
    <w:rsid w:val="000C4447"/>
    <w:rsid w:val="000D7E42"/>
    <w:rsid w:val="000E11B6"/>
    <w:rsid w:val="000F31CF"/>
    <w:rsid w:val="000F649B"/>
    <w:rsid w:val="00100475"/>
    <w:rsid w:val="00102CE1"/>
    <w:rsid w:val="00120E21"/>
    <w:rsid w:val="00133E07"/>
    <w:rsid w:val="00145911"/>
    <w:rsid w:val="00155DD0"/>
    <w:rsid w:val="0017511B"/>
    <w:rsid w:val="001819D1"/>
    <w:rsid w:val="00192B91"/>
    <w:rsid w:val="001A5D8D"/>
    <w:rsid w:val="001B2A92"/>
    <w:rsid w:val="001B53A8"/>
    <w:rsid w:val="001B693B"/>
    <w:rsid w:val="001C089D"/>
    <w:rsid w:val="001C1FEB"/>
    <w:rsid w:val="001D1288"/>
    <w:rsid w:val="001E372A"/>
    <w:rsid w:val="001E5AD6"/>
    <w:rsid w:val="001F1F80"/>
    <w:rsid w:val="001F2FAB"/>
    <w:rsid w:val="00216025"/>
    <w:rsid w:val="0022633A"/>
    <w:rsid w:val="00235C9D"/>
    <w:rsid w:val="00246050"/>
    <w:rsid w:val="00264956"/>
    <w:rsid w:val="00277A11"/>
    <w:rsid w:val="002952C8"/>
    <w:rsid w:val="002A61CE"/>
    <w:rsid w:val="002C0D6A"/>
    <w:rsid w:val="002C35B4"/>
    <w:rsid w:val="002C440B"/>
    <w:rsid w:val="002E076C"/>
    <w:rsid w:val="002E70C8"/>
    <w:rsid w:val="002F31F9"/>
    <w:rsid w:val="002F669E"/>
    <w:rsid w:val="002F77C4"/>
    <w:rsid w:val="00303074"/>
    <w:rsid w:val="003267A0"/>
    <w:rsid w:val="00331189"/>
    <w:rsid w:val="00345F3F"/>
    <w:rsid w:val="00351FB3"/>
    <w:rsid w:val="00374225"/>
    <w:rsid w:val="00387857"/>
    <w:rsid w:val="003B1BF2"/>
    <w:rsid w:val="003D575B"/>
    <w:rsid w:val="003E51B3"/>
    <w:rsid w:val="003F4B4F"/>
    <w:rsid w:val="003F7BD5"/>
    <w:rsid w:val="004256DB"/>
    <w:rsid w:val="004272D5"/>
    <w:rsid w:val="004359FA"/>
    <w:rsid w:val="00457C9D"/>
    <w:rsid w:val="00467ECD"/>
    <w:rsid w:val="00496988"/>
    <w:rsid w:val="004A1492"/>
    <w:rsid w:val="004A1FBC"/>
    <w:rsid w:val="004A5B2A"/>
    <w:rsid w:val="004B2DDB"/>
    <w:rsid w:val="004B478D"/>
    <w:rsid w:val="004B630F"/>
    <w:rsid w:val="004C592E"/>
    <w:rsid w:val="004D25FE"/>
    <w:rsid w:val="00521B88"/>
    <w:rsid w:val="00525A4C"/>
    <w:rsid w:val="005279CC"/>
    <w:rsid w:val="00566BA6"/>
    <w:rsid w:val="00574814"/>
    <w:rsid w:val="005A27BA"/>
    <w:rsid w:val="005A5C17"/>
    <w:rsid w:val="005C02F0"/>
    <w:rsid w:val="005C3638"/>
    <w:rsid w:val="005D1CC5"/>
    <w:rsid w:val="005E2169"/>
    <w:rsid w:val="005F334E"/>
    <w:rsid w:val="005F6220"/>
    <w:rsid w:val="005F70BA"/>
    <w:rsid w:val="00610D88"/>
    <w:rsid w:val="0062554F"/>
    <w:rsid w:val="00640019"/>
    <w:rsid w:val="00643169"/>
    <w:rsid w:val="00645B50"/>
    <w:rsid w:val="006550CC"/>
    <w:rsid w:val="00665976"/>
    <w:rsid w:val="006A7D51"/>
    <w:rsid w:val="006C0E94"/>
    <w:rsid w:val="006C213F"/>
    <w:rsid w:val="006D3D20"/>
    <w:rsid w:val="006D48E3"/>
    <w:rsid w:val="006D6989"/>
    <w:rsid w:val="006E2A45"/>
    <w:rsid w:val="006E3129"/>
    <w:rsid w:val="006F2E53"/>
    <w:rsid w:val="006F5379"/>
    <w:rsid w:val="00716DA8"/>
    <w:rsid w:val="00722758"/>
    <w:rsid w:val="00723328"/>
    <w:rsid w:val="00730623"/>
    <w:rsid w:val="007448CA"/>
    <w:rsid w:val="00745D7C"/>
    <w:rsid w:val="00753BC0"/>
    <w:rsid w:val="007A5780"/>
    <w:rsid w:val="007B3B1C"/>
    <w:rsid w:val="007B727C"/>
    <w:rsid w:val="007C1F15"/>
    <w:rsid w:val="007C76C1"/>
    <w:rsid w:val="007D0541"/>
    <w:rsid w:val="007D45A5"/>
    <w:rsid w:val="008164ED"/>
    <w:rsid w:val="008236A9"/>
    <w:rsid w:val="00867049"/>
    <w:rsid w:val="00882B54"/>
    <w:rsid w:val="00885FDE"/>
    <w:rsid w:val="00891654"/>
    <w:rsid w:val="008941FB"/>
    <w:rsid w:val="0089553C"/>
    <w:rsid w:val="008A7E8F"/>
    <w:rsid w:val="008C387E"/>
    <w:rsid w:val="008C4540"/>
    <w:rsid w:val="008C7E42"/>
    <w:rsid w:val="008E4A77"/>
    <w:rsid w:val="008F3A10"/>
    <w:rsid w:val="00957AF3"/>
    <w:rsid w:val="009872D3"/>
    <w:rsid w:val="009A14A7"/>
    <w:rsid w:val="009B25C5"/>
    <w:rsid w:val="009B7B4B"/>
    <w:rsid w:val="009C625B"/>
    <w:rsid w:val="009D0DDE"/>
    <w:rsid w:val="009E2A4D"/>
    <w:rsid w:val="009E7424"/>
    <w:rsid w:val="00A03378"/>
    <w:rsid w:val="00A056F1"/>
    <w:rsid w:val="00A15FC4"/>
    <w:rsid w:val="00A309A9"/>
    <w:rsid w:val="00A455BF"/>
    <w:rsid w:val="00A46C28"/>
    <w:rsid w:val="00A760B3"/>
    <w:rsid w:val="00A82131"/>
    <w:rsid w:val="00A82B5A"/>
    <w:rsid w:val="00A83B45"/>
    <w:rsid w:val="00A933C1"/>
    <w:rsid w:val="00AB0ACD"/>
    <w:rsid w:val="00AB0F3E"/>
    <w:rsid w:val="00AB49FA"/>
    <w:rsid w:val="00AC4CBF"/>
    <w:rsid w:val="00AC5CB5"/>
    <w:rsid w:val="00B00E2D"/>
    <w:rsid w:val="00B019A2"/>
    <w:rsid w:val="00B347B3"/>
    <w:rsid w:val="00B36BB5"/>
    <w:rsid w:val="00B50E4F"/>
    <w:rsid w:val="00B66EFE"/>
    <w:rsid w:val="00BB1975"/>
    <w:rsid w:val="00BD05F3"/>
    <w:rsid w:val="00BF0EEC"/>
    <w:rsid w:val="00BF4E02"/>
    <w:rsid w:val="00C002CA"/>
    <w:rsid w:val="00C06886"/>
    <w:rsid w:val="00C10213"/>
    <w:rsid w:val="00C24462"/>
    <w:rsid w:val="00C30CD2"/>
    <w:rsid w:val="00C3314E"/>
    <w:rsid w:val="00C33379"/>
    <w:rsid w:val="00C35286"/>
    <w:rsid w:val="00C3587C"/>
    <w:rsid w:val="00C37438"/>
    <w:rsid w:val="00C4288C"/>
    <w:rsid w:val="00C4756A"/>
    <w:rsid w:val="00C57C24"/>
    <w:rsid w:val="00C66E50"/>
    <w:rsid w:val="00C72FEE"/>
    <w:rsid w:val="00C74214"/>
    <w:rsid w:val="00C9139F"/>
    <w:rsid w:val="00CA54A5"/>
    <w:rsid w:val="00CB19F1"/>
    <w:rsid w:val="00CB72B4"/>
    <w:rsid w:val="00CC05FF"/>
    <w:rsid w:val="00CD4B08"/>
    <w:rsid w:val="00CE1D16"/>
    <w:rsid w:val="00CF2E65"/>
    <w:rsid w:val="00CF6D89"/>
    <w:rsid w:val="00D046C7"/>
    <w:rsid w:val="00D10CD8"/>
    <w:rsid w:val="00D11CB5"/>
    <w:rsid w:val="00D413FE"/>
    <w:rsid w:val="00D43521"/>
    <w:rsid w:val="00D5105E"/>
    <w:rsid w:val="00D53C6A"/>
    <w:rsid w:val="00D60703"/>
    <w:rsid w:val="00D67980"/>
    <w:rsid w:val="00D71801"/>
    <w:rsid w:val="00D7399D"/>
    <w:rsid w:val="00D77558"/>
    <w:rsid w:val="00D77F66"/>
    <w:rsid w:val="00D82EA4"/>
    <w:rsid w:val="00D872DA"/>
    <w:rsid w:val="00D9428D"/>
    <w:rsid w:val="00DB0966"/>
    <w:rsid w:val="00DF2810"/>
    <w:rsid w:val="00E061CB"/>
    <w:rsid w:val="00E070C1"/>
    <w:rsid w:val="00E07152"/>
    <w:rsid w:val="00E14133"/>
    <w:rsid w:val="00E148CE"/>
    <w:rsid w:val="00E14DC2"/>
    <w:rsid w:val="00E20276"/>
    <w:rsid w:val="00E4453A"/>
    <w:rsid w:val="00E601EC"/>
    <w:rsid w:val="00E7237D"/>
    <w:rsid w:val="00E8124A"/>
    <w:rsid w:val="00E83DE2"/>
    <w:rsid w:val="00EB2C8A"/>
    <w:rsid w:val="00EB6D45"/>
    <w:rsid w:val="00EC52BA"/>
    <w:rsid w:val="00EE7D64"/>
    <w:rsid w:val="00EF2F2B"/>
    <w:rsid w:val="00EF3792"/>
    <w:rsid w:val="00F04357"/>
    <w:rsid w:val="00F123DE"/>
    <w:rsid w:val="00F26D87"/>
    <w:rsid w:val="00F33065"/>
    <w:rsid w:val="00F362D2"/>
    <w:rsid w:val="00F375ED"/>
    <w:rsid w:val="00F62DA5"/>
    <w:rsid w:val="00F65BD7"/>
    <w:rsid w:val="00F74DAB"/>
    <w:rsid w:val="00F91023"/>
    <w:rsid w:val="00F94472"/>
    <w:rsid w:val="00F95888"/>
    <w:rsid w:val="00FB158E"/>
    <w:rsid w:val="00FB2D8E"/>
    <w:rsid w:val="00FB3D40"/>
    <w:rsid w:val="00FC2005"/>
    <w:rsid w:val="00FC2CF8"/>
    <w:rsid w:val="00FD2BAC"/>
    <w:rsid w:val="00FD5B18"/>
    <w:rsid w:val="00FF2E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992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455BF"/>
    <w:rPr>
      <w:rFonts w:ascii="Calibri" w:eastAsia="Calibri" w:hAnsi="Calibri" w:cs="Times New Roman"/>
    </w:rPr>
  </w:style>
  <w:style w:type="paragraph" w:styleId="Heading1">
    <w:name w:val="heading 1"/>
    <w:basedOn w:val="Normal"/>
    <w:next w:val="Normal"/>
    <w:link w:val="Heading1Char"/>
    <w:uiPriority w:val="9"/>
    <w:qFormat/>
    <w:rsid w:val="00E14DC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14DC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3118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33118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455BF"/>
    <w:rPr>
      <w:color w:val="0000FF"/>
      <w:u w:val="single"/>
    </w:rPr>
  </w:style>
  <w:style w:type="paragraph" w:customStyle="1" w:styleId="BODY">
    <w:name w:val=".BODY"/>
    <w:basedOn w:val="Normal"/>
    <w:link w:val="BODYChar"/>
    <w:qFormat/>
    <w:rsid w:val="00331189"/>
    <w:pPr>
      <w:spacing w:after="120" w:line="240" w:lineRule="auto"/>
    </w:pPr>
    <w:rPr>
      <w:rFonts w:ascii="Arial" w:hAnsi="Arial" w:cs="Calibri"/>
      <w:sz w:val="20"/>
    </w:rPr>
  </w:style>
  <w:style w:type="character" w:customStyle="1" w:styleId="BODYChar">
    <w:name w:val=".BODY Char"/>
    <w:link w:val="BODY"/>
    <w:rsid w:val="00331189"/>
    <w:rPr>
      <w:rFonts w:ascii="Arial" w:eastAsia="Calibri" w:hAnsi="Arial" w:cs="Calibri"/>
      <w:sz w:val="20"/>
    </w:rPr>
  </w:style>
  <w:style w:type="paragraph" w:styleId="Footer">
    <w:name w:val="footer"/>
    <w:basedOn w:val="Normal"/>
    <w:link w:val="FooterChar"/>
    <w:uiPriority w:val="99"/>
    <w:unhideWhenUsed/>
    <w:rsid w:val="00A455BF"/>
    <w:pPr>
      <w:tabs>
        <w:tab w:val="center" w:pos="4680"/>
        <w:tab w:val="right" w:pos="9360"/>
      </w:tabs>
    </w:pPr>
  </w:style>
  <w:style w:type="character" w:customStyle="1" w:styleId="FooterChar">
    <w:name w:val="Footer Char"/>
    <w:basedOn w:val="DefaultParagraphFont"/>
    <w:link w:val="Footer"/>
    <w:uiPriority w:val="99"/>
    <w:rsid w:val="00A455BF"/>
    <w:rPr>
      <w:rFonts w:ascii="Calibri" w:eastAsia="Calibri" w:hAnsi="Calibri" w:cs="Times New Roman"/>
    </w:rPr>
  </w:style>
  <w:style w:type="paragraph" w:customStyle="1" w:styleId="Default">
    <w:name w:val="Default"/>
    <w:rsid w:val="00A455BF"/>
    <w:pPr>
      <w:autoSpaceDE w:val="0"/>
      <w:autoSpaceDN w:val="0"/>
      <w:adjustRightInd w:val="0"/>
      <w:spacing w:after="0" w:line="240" w:lineRule="auto"/>
    </w:pPr>
    <w:rPr>
      <w:rFonts w:ascii="Calibri" w:eastAsia="Calibri" w:hAnsi="Calibri" w:cs="Calibri"/>
      <w:color w:val="000000"/>
      <w:sz w:val="24"/>
      <w:szCs w:val="24"/>
    </w:rPr>
  </w:style>
  <w:style w:type="table" w:styleId="TableGrid">
    <w:name w:val="Table Grid"/>
    <w:basedOn w:val="TableNormal"/>
    <w:uiPriority w:val="59"/>
    <w:rsid w:val="00066E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locked/>
    <w:rsid w:val="00566B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6BA6"/>
    <w:rPr>
      <w:rFonts w:ascii="Calibri" w:eastAsia="Calibri" w:hAnsi="Calibri" w:cs="Times New Roman"/>
    </w:rPr>
  </w:style>
  <w:style w:type="paragraph" w:styleId="BalloonText">
    <w:name w:val="Balloon Text"/>
    <w:basedOn w:val="Normal"/>
    <w:link w:val="BalloonTextChar"/>
    <w:uiPriority w:val="99"/>
    <w:semiHidden/>
    <w:unhideWhenUsed/>
    <w:rsid w:val="00566B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6BA6"/>
    <w:rPr>
      <w:rFonts w:ascii="Tahoma" w:eastAsia="Calibri" w:hAnsi="Tahoma" w:cs="Tahoma"/>
      <w:sz w:val="16"/>
      <w:szCs w:val="16"/>
    </w:rPr>
  </w:style>
  <w:style w:type="character" w:styleId="FollowedHyperlink">
    <w:name w:val="FollowedHyperlink"/>
    <w:basedOn w:val="DefaultParagraphFont"/>
    <w:uiPriority w:val="99"/>
    <w:semiHidden/>
    <w:unhideWhenUsed/>
    <w:rsid w:val="007448CA"/>
    <w:rPr>
      <w:color w:val="800080" w:themeColor="followedHyperlink"/>
      <w:u w:val="single"/>
    </w:rPr>
  </w:style>
  <w:style w:type="paragraph" w:styleId="ListParagraph">
    <w:name w:val="List Paragraph"/>
    <w:basedOn w:val="Normal"/>
    <w:uiPriority w:val="34"/>
    <w:qFormat/>
    <w:rsid w:val="008F3A10"/>
    <w:pPr>
      <w:ind w:left="720"/>
      <w:contextualSpacing/>
    </w:pPr>
    <w:rPr>
      <w:rFonts w:asciiTheme="minorHAnsi" w:eastAsiaTheme="minorHAnsi" w:hAnsiTheme="minorHAnsi" w:cstheme="minorBidi"/>
    </w:rPr>
  </w:style>
  <w:style w:type="character" w:customStyle="1" w:styleId="Heading1Char">
    <w:name w:val="Heading 1 Char"/>
    <w:basedOn w:val="DefaultParagraphFont"/>
    <w:link w:val="Heading1"/>
    <w:uiPriority w:val="9"/>
    <w:rsid w:val="00E14DC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14DC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3118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331189"/>
    <w:rPr>
      <w:rFonts w:asciiTheme="majorHAnsi" w:eastAsiaTheme="majorEastAsia" w:hAnsiTheme="majorHAnsi" w:cstheme="majorBidi"/>
      <w:b/>
      <w:bCs/>
      <w:i/>
      <w:iCs/>
      <w:color w:val="4F81BD" w:themeColor="accent1"/>
    </w:rPr>
  </w:style>
  <w:style w:type="paragraph" w:customStyle="1" w:styleId="body0">
    <w:name w:val="body"/>
    <w:basedOn w:val="Normal"/>
    <w:uiPriority w:val="99"/>
    <w:semiHidden/>
    <w:rsid w:val="00216025"/>
    <w:pPr>
      <w:spacing w:before="100" w:beforeAutospacing="1" w:after="100" w:afterAutospacing="1" w:line="240" w:lineRule="auto"/>
    </w:pPr>
    <w:rPr>
      <w:rFonts w:ascii="Times New Roman" w:eastAsiaTheme="minorEastAsia" w:hAnsi="Times New Roman"/>
      <w:sz w:val="24"/>
      <w:szCs w:val="24"/>
    </w:rPr>
  </w:style>
  <w:style w:type="paragraph" w:customStyle="1" w:styleId="normal-web-">
    <w:name w:val="normal-web-"/>
    <w:basedOn w:val="Normal"/>
    <w:uiPriority w:val="99"/>
    <w:semiHidden/>
    <w:rsid w:val="00216025"/>
    <w:pPr>
      <w:spacing w:before="100" w:beforeAutospacing="1" w:after="100" w:afterAutospacing="1" w:line="240" w:lineRule="auto"/>
    </w:pPr>
    <w:rPr>
      <w:rFonts w:ascii="Times New Roman" w:eastAsiaTheme="minorEastAsia"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0979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snia.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ncits.org" TargetMode="External"/></Relationships>
</file>

<file path=word/_rels/header2.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hyperlink" Target="https://www.facebook.com/pages/InterNational-Committee-for-Information-Technology-Standards-INCITS/179060988835152" TargetMode="External"/><Relationship Id="rId7" Type="http://schemas.openxmlformats.org/officeDocument/2006/relationships/hyperlink" Target="https://www.linkedin.com/company/international-committee-for-information-technology-standards?trk=nav_account_sub_nav_company_admin" TargetMode="External"/><Relationship Id="rId2" Type="http://schemas.openxmlformats.org/officeDocument/2006/relationships/hyperlink" Target="http://www.INCITS.org" TargetMode="External"/><Relationship Id="rId1" Type="http://schemas.openxmlformats.org/officeDocument/2006/relationships/image" Target="media/image1.jpg"/><Relationship Id="rId6" Type="http://schemas.openxmlformats.org/officeDocument/2006/relationships/image" Target="media/image3.jpg"/><Relationship Id="rId5" Type="http://schemas.openxmlformats.org/officeDocument/2006/relationships/hyperlink" Target="http://twitter.com/INCITS" TargetMode="External"/><Relationship Id="rId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646703-2A0B-4B16-9F42-14EE7EA6C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2414</Words>
  <Characters>13760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2019-01-18T17:07:00Z</dcterms:created>
  <dcterms:modified xsi:type="dcterms:W3CDTF">2019-02-27T16:49:00Z</dcterms:modified>
</cp:coreProperties>
</file>